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E9A679" w14:textId="33EA3682" w:rsidR="00561D9B" w:rsidRPr="00957D23" w:rsidRDefault="00561D9B" w:rsidP="00561D9B">
      <w:pPr>
        <w:spacing w:line="480" w:lineRule="auto"/>
        <w:ind w:firstLine="720"/>
        <w:contextualSpacing/>
      </w:pPr>
      <w:r w:rsidRPr="00957D23">
        <w:t>I concur</w:t>
      </w:r>
      <w:r w:rsidR="00957D23" w:rsidRPr="00957D23">
        <w:t xml:space="preserve"> that</w:t>
      </w:r>
      <w:r w:rsidRPr="00957D23">
        <w:t xml:space="preserve"> computer code </w:t>
      </w:r>
      <w:r w:rsidR="00957D23" w:rsidRPr="00957D23">
        <w:t>is not</w:t>
      </w:r>
      <w:r w:rsidRPr="00957D23">
        <w:t xml:space="preserve"> foreign language, although I refute the premise of </w:t>
      </w:r>
      <w:proofErr w:type="spellStart"/>
      <w:r w:rsidRPr="00957D23">
        <w:t>Egginton’s</w:t>
      </w:r>
      <w:proofErr w:type="spellEnd"/>
      <w:r w:rsidRPr="00957D23">
        <w:t xml:space="preserve"> rebuttal</w:t>
      </w:r>
      <w:r w:rsidR="00957D23">
        <w:t xml:space="preserve"> to not support this bill</w:t>
      </w:r>
      <w:r w:rsidRPr="00957D23">
        <w:t xml:space="preserve">. Insofar as </w:t>
      </w:r>
      <w:r w:rsidR="00957D23" w:rsidRPr="00957D23">
        <w:t xml:space="preserve">the </w:t>
      </w:r>
      <w:r w:rsidRPr="00957D23">
        <w:t>styles of code</w:t>
      </w:r>
      <w:r w:rsidR="00957D23" w:rsidRPr="00957D23">
        <w:rPr>
          <w:rStyle w:val="FootnoteReference"/>
        </w:rPr>
        <w:footnoteReference w:id="1"/>
      </w:r>
      <w:r w:rsidRPr="00957D23">
        <w:t xml:space="preserve"> do not entail the same patterns of continuum and variation that occur in natural language. However, some traits in code</w:t>
      </w:r>
      <w:r w:rsidR="00957D23" w:rsidRPr="00957D23">
        <w:t xml:space="preserve"> </w:t>
      </w:r>
      <w:r w:rsidRPr="00957D23">
        <w:t>derive from natural human language, such as the application of transferred universal grammar insofar as a designed syntax and semantics. Therefore</w:t>
      </w:r>
      <w:r w:rsidR="00957D23" w:rsidRPr="00957D23">
        <w:t>,</w:t>
      </w:r>
      <w:r w:rsidRPr="00957D23">
        <w:t xml:space="preserve"> a neurological relation to the ability </w:t>
      </w:r>
      <w:r w:rsidR="00957D23" w:rsidRPr="00957D23">
        <w:t>of code acquisition and practice</w:t>
      </w:r>
      <w:r w:rsidR="00D64F9A">
        <w:t xml:space="preserve">, which alludes to an overt grammar transcended </w:t>
      </w:r>
      <w:bookmarkStart w:id="0" w:name="_GoBack"/>
      <w:bookmarkEnd w:id="0"/>
      <w:r w:rsidR="00D64F9A">
        <w:t>from  UG</w:t>
      </w:r>
      <w:r w:rsidR="00957D23" w:rsidRPr="00957D23">
        <w:t xml:space="preserve">. </w:t>
      </w:r>
      <w:r w:rsidRPr="00957D23">
        <w:t>Questions proposed are</w:t>
      </w:r>
      <w:r w:rsidR="00957D23" w:rsidRPr="00957D23">
        <w:t xml:space="preserve"> which</w:t>
      </w:r>
      <w:r w:rsidRPr="00957D23">
        <w:t xml:space="preserve"> cognitive operations </w:t>
      </w:r>
      <w:r w:rsidR="00957D23" w:rsidRPr="00957D23">
        <w:t xml:space="preserve">similar to foreign language </w:t>
      </w:r>
      <w:r w:rsidRPr="00957D23">
        <w:t xml:space="preserve">that occur when learning or </w:t>
      </w:r>
      <w:r w:rsidR="00957D23" w:rsidRPr="00957D23">
        <w:t>practicing</w:t>
      </w:r>
      <w:r w:rsidRPr="00957D23">
        <w:t xml:space="preserve"> code,</w:t>
      </w:r>
      <w:r w:rsidR="00957D23" w:rsidRPr="00957D23">
        <w:t xml:space="preserve"> then</w:t>
      </w:r>
      <w:r w:rsidRPr="00957D23">
        <w:t xml:space="preserve"> compa</w:t>
      </w:r>
      <w:r w:rsidR="00957D23" w:rsidRPr="00957D23">
        <w:t>re</w:t>
      </w:r>
      <w:r w:rsidRPr="00957D23">
        <w:t xml:space="preserve"> </w:t>
      </w:r>
      <w:r w:rsidR="00957D23" w:rsidRPr="00957D23">
        <w:t>results</w:t>
      </w:r>
      <w:r w:rsidRPr="00957D23">
        <w:t xml:space="preserve"> to languages without a phonology such as sign languages. However, without a phonology,</w:t>
      </w:r>
      <w:r w:rsidR="00957D23" w:rsidRPr="00957D23">
        <w:t xml:space="preserve"> </w:t>
      </w:r>
      <w:r w:rsidRPr="00957D23">
        <w:t>what is said about code</w:t>
      </w:r>
      <w:r w:rsidR="00957D23" w:rsidRPr="00957D23">
        <w:t>s</w:t>
      </w:r>
      <w:r w:rsidRPr="00957D23">
        <w:t xml:space="preserve"> and the limitations of a critical period? </w:t>
      </w:r>
      <w:r w:rsidR="00957D23">
        <w:t>If so, then the bill needs support in the same premise one would learn L2. The</w:t>
      </w:r>
      <w:r w:rsidRPr="00957D23">
        <w:t xml:space="preserve"> substitution of L2 formal education </w:t>
      </w:r>
      <w:r w:rsidR="00957D23">
        <w:t>does</w:t>
      </w:r>
      <w:r w:rsidRPr="00957D23">
        <w:t xml:space="preserve"> not deprive a person of L2 contact</w:t>
      </w:r>
      <w:r w:rsidR="00957D23" w:rsidRPr="00957D23">
        <w:t xml:space="preserve"> in the MD bill</w:t>
      </w:r>
      <w:r w:rsidR="00957D23" w:rsidRPr="00957D23">
        <w:rPr>
          <w:rStyle w:val="FootnoteReference"/>
        </w:rPr>
        <w:footnoteReference w:id="2"/>
      </w:r>
      <w:r w:rsidRPr="00957D23">
        <w:t>—it</w:t>
      </w:r>
      <w:r w:rsidR="00957D23">
        <w:t xml:space="preserve"> provokes</w:t>
      </w:r>
      <w:r w:rsidRPr="00957D23">
        <w:t xml:space="preserve"> autonomy</w:t>
      </w:r>
      <w:r w:rsidR="00957D23">
        <w:t xml:space="preserve"> of educational resources.</w:t>
      </w:r>
      <w:r w:rsidRPr="00957D23">
        <w:t xml:space="preserve"> </w:t>
      </w:r>
      <w:r w:rsidR="00957D23">
        <w:t>S</w:t>
      </w:r>
      <w:r w:rsidRPr="00957D23">
        <w:t>ubstitution encourages the interests of those whom have a passion for learning computer coding to pursue them in a more focused manner. Roos</w:t>
      </w:r>
      <w:r w:rsidRPr="00957D23">
        <w:rPr>
          <w:rStyle w:val="FootnoteReference"/>
        </w:rPr>
        <w:footnoteReference w:id="3"/>
      </w:r>
      <w:r w:rsidRPr="00957D23">
        <w:t xml:space="preserve"> suggests that applications of fabricated intelligence are as limited as</w:t>
      </w:r>
      <w:r w:rsidR="00957D23">
        <w:t xml:space="preserve"> human</w:t>
      </w:r>
      <w:r w:rsidRPr="00957D23">
        <w:t xml:space="preserve"> </w:t>
      </w:r>
      <w:r w:rsidRPr="00957D23">
        <w:lastRenderedPageBreak/>
        <w:t>language permit</w:t>
      </w:r>
      <w:r w:rsidR="00957D23">
        <w:t>s</w:t>
      </w:r>
      <w:r w:rsidRPr="00957D23">
        <w:t xml:space="preserve"> </w:t>
      </w:r>
      <w:r w:rsidR="00957D23">
        <w:t>because it</w:t>
      </w:r>
      <w:r w:rsidRPr="00957D23">
        <w:t xml:space="preserve"> foun</w:t>
      </w:r>
      <w:r w:rsidR="00957D23">
        <w:t>ds the base of operations</w:t>
      </w:r>
      <w:r w:rsidRPr="00957D23">
        <w:t xml:space="preserve">, </w:t>
      </w:r>
      <w:r w:rsidR="00957D23">
        <w:t xml:space="preserve">not necessarily as a language, but as a creative extension. </w:t>
      </w:r>
    </w:p>
    <w:sectPr w:rsidR="00561D9B" w:rsidRPr="00957D23" w:rsidSect="00891186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DFB85B" w14:textId="77777777" w:rsidR="00592A37" w:rsidRDefault="00592A37" w:rsidP="00561D9B">
      <w:r>
        <w:separator/>
      </w:r>
    </w:p>
  </w:endnote>
  <w:endnote w:type="continuationSeparator" w:id="0">
    <w:p w14:paraId="32970833" w14:textId="77777777" w:rsidR="00592A37" w:rsidRDefault="00592A37" w:rsidP="00561D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oulos SIL">
    <w:panose1 w:val="020B0604020202020204"/>
    <w:charset w:val="4D"/>
    <w:family w:val="auto"/>
    <w:pitch w:val="variable"/>
    <w:sig w:usb0="A00002FF" w:usb1="5200A1FF" w:usb2="02000009" w:usb3="00000000" w:csb0="00000197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F0A280" w14:textId="77777777" w:rsidR="00592A37" w:rsidRDefault="00592A37" w:rsidP="00561D9B">
      <w:r>
        <w:separator/>
      </w:r>
    </w:p>
  </w:footnote>
  <w:footnote w:type="continuationSeparator" w:id="0">
    <w:p w14:paraId="026AF854" w14:textId="77777777" w:rsidR="00592A37" w:rsidRDefault="00592A37" w:rsidP="00561D9B">
      <w:r>
        <w:continuationSeparator/>
      </w:r>
    </w:p>
  </w:footnote>
  <w:footnote w:id="1">
    <w:p w14:paraId="13790879" w14:textId="02E77E87" w:rsidR="00957D23" w:rsidRPr="00957D23" w:rsidRDefault="00957D23">
      <w:pPr>
        <w:pStyle w:val="FootnoteText"/>
        <w:rPr>
          <w:rFonts w:ascii="Times New Roman" w:hAnsi="Times New Roman" w:cs="Times New Roman"/>
          <w:color w:val="000000" w:themeColor="text1"/>
        </w:rPr>
      </w:pPr>
      <w:r w:rsidRPr="00957D23">
        <w:rPr>
          <w:rStyle w:val="FootnoteReference"/>
          <w:rFonts w:ascii="Times New Roman" w:hAnsi="Times New Roman" w:cs="Times New Roman"/>
          <w:color w:val="000000" w:themeColor="text1"/>
        </w:rPr>
        <w:footnoteRef/>
      </w:r>
      <w:r w:rsidRPr="00957D23">
        <w:rPr>
          <w:rFonts w:ascii="Times New Roman" w:hAnsi="Times New Roman" w:cs="Times New Roman"/>
          <w:color w:val="000000" w:themeColor="text1"/>
        </w:rPr>
        <w:t xml:space="preserve"> S.3122 HS CODES Act: </w:t>
      </w:r>
      <w:hyperlink r:id="rId1" w:history="1">
        <w:r w:rsidRPr="00957D23">
          <w:rPr>
            <w:rStyle w:val="Hyperlink"/>
            <w:rFonts w:ascii="Times New Roman" w:hAnsi="Times New Roman" w:cs="Times New Roman"/>
            <w:color w:val="000000" w:themeColor="text1"/>
          </w:rPr>
          <w:t>https://www.congress.gov/bill/115th-congress/senate-bill/3122</w:t>
        </w:r>
      </w:hyperlink>
      <w:r w:rsidRPr="00957D23">
        <w:rPr>
          <w:rFonts w:ascii="Times New Roman" w:hAnsi="Times New Roman" w:cs="Times New Roman"/>
          <w:color w:val="000000" w:themeColor="text1"/>
        </w:rPr>
        <w:t xml:space="preserve"> </w:t>
      </w:r>
    </w:p>
  </w:footnote>
  <w:footnote w:id="2">
    <w:p w14:paraId="2D67529F" w14:textId="14CE4BB6" w:rsidR="00957D23" w:rsidRPr="00957D23" w:rsidRDefault="00957D23" w:rsidP="00957D23">
      <w:pPr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957D23">
        <w:rPr>
          <w:rStyle w:val="FootnoteReference"/>
          <w:rFonts w:ascii="Times New Roman" w:hAnsi="Times New Roman" w:cs="Times New Roman"/>
          <w:color w:val="000000" w:themeColor="text1"/>
          <w:sz w:val="20"/>
          <w:szCs w:val="20"/>
        </w:rPr>
        <w:footnoteRef/>
      </w:r>
      <w:r w:rsidRPr="00957D2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“… </w:t>
      </w:r>
      <w:r w:rsidRPr="00957D23">
        <w:rPr>
          <w:rFonts w:ascii="Times New Roman" w:eastAsia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allow high-school students to take a coding class in place of a mathematics, science, or foreign language class as graduation requirement” (Congress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.gov</w:t>
      </w:r>
      <w:r w:rsidRPr="00957D23">
        <w:rPr>
          <w:rFonts w:ascii="Times New Roman" w:eastAsia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, </w:t>
      </w:r>
      <w:proofErr w:type="gramStart"/>
      <w:r w:rsidRPr="00957D23">
        <w:rPr>
          <w:rFonts w:ascii="Times New Roman" w:eastAsia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S.3122)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Other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 substitutions are permitted aside of L2 study.</w:t>
      </w:r>
    </w:p>
  </w:footnote>
  <w:footnote w:id="3">
    <w:p w14:paraId="2561178F" w14:textId="06A79469" w:rsidR="00561D9B" w:rsidRPr="00957D23" w:rsidRDefault="00561D9B" w:rsidP="00561D9B">
      <w:pPr>
        <w:ind w:hanging="475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957D23">
        <w:rPr>
          <w:rStyle w:val="FootnoteReference"/>
          <w:rFonts w:ascii="Times New Roman" w:hAnsi="Times New Roman" w:cs="Times New Roman"/>
          <w:color w:val="000000" w:themeColor="text1"/>
          <w:sz w:val="20"/>
          <w:szCs w:val="20"/>
        </w:rPr>
        <w:footnoteRef/>
      </w:r>
      <w:r w:rsidRPr="00957D2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957D23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Roos T.: Artificial intelligence may solve many problems, but without research we will only transfer our bad habits to it. (2018, November 20). from </w:t>
      </w:r>
      <w:r w:rsidRPr="00957D23">
        <w:rPr>
          <w:rFonts w:ascii="Times New Roman" w:eastAsia="Times New Roman" w:hAnsi="Times New Roman" w:cs="Times New Roman"/>
          <w:color w:val="000000" w:themeColor="text1"/>
          <w:sz w:val="20"/>
          <w:szCs w:val="20"/>
          <w:u w:val="single"/>
        </w:rPr>
        <w:t>https://www.helsinki.fi/en/news/data-science-news/</w:t>
      </w:r>
      <w:r w:rsidRPr="00957D23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</w:t>
      </w:r>
    </w:p>
    <w:p w14:paraId="126C04CA" w14:textId="0DA796BA" w:rsidR="00561D9B" w:rsidRPr="00957D23" w:rsidRDefault="00561D9B">
      <w:pPr>
        <w:pStyle w:val="FootnoteText"/>
        <w:rPr>
          <w:rFonts w:ascii="Times New Roman" w:hAnsi="Times New Roman" w:cs="Times New Roman"/>
          <w:color w:val="000000" w:themeColor="text1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729840" w14:textId="20EE3884" w:rsidR="00561D9B" w:rsidRDefault="00561D9B">
    <w:pPr>
      <w:pStyle w:val="Header"/>
    </w:pPr>
    <w:r>
      <w:t>JARED PURCELL. LINGUISTICS 582: SLA. PROF.WEINBERGER. MARCH 23, 2019.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EC626A"/>
    <w:multiLevelType w:val="hybridMultilevel"/>
    <w:tmpl w:val="2EDC20B2"/>
    <w:lvl w:ilvl="0" w:tplc="00787E06">
      <w:start w:val="4"/>
      <w:numFmt w:val="bullet"/>
      <w:lvlText w:val=""/>
      <w:lvlJc w:val="left"/>
      <w:pPr>
        <w:ind w:left="720" w:hanging="360"/>
      </w:pPr>
      <w:rPr>
        <w:rFonts w:ascii="Wingdings" w:eastAsiaTheme="minorHAnsi" w:hAnsi="Wingdings" w:cs="Doulos SI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2DD"/>
    <w:rsid w:val="00217695"/>
    <w:rsid w:val="00276BB4"/>
    <w:rsid w:val="00561D9B"/>
    <w:rsid w:val="00592A37"/>
    <w:rsid w:val="007B0D55"/>
    <w:rsid w:val="00891186"/>
    <w:rsid w:val="00957D23"/>
    <w:rsid w:val="009F42DD"/>
    <w:rsid w:val="00D64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5DF001"/>
  <w15:chartTrackingRefBased/>
  <w15:docId w15:val="{DA947A2A-5F32-AB4C-AD62-288B4D12E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Doulos SIL" w:eastAsiaTheme="minorHAnsi" w:hAnsi="Doulos SIL" w:cs="Doulos SIL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61D9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61D9B"/>
  </w:style>
  <w:style w:type="paragraph" w:styleId="Footer">
    <w:name w:val="footer"/>
    <w:basedOn w:val="Normal"/>
    <w:link w:val="FooterChar"/>
    <w:uiPriority w:val="99"/>
    <w:unhideWhenUsed/>
    <w:rsid w:val="00561D9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61D9B"/>
  </w:style>
  <w:style w:type="paragraph" w:styleId="ListParagraph">
    <w:name w:val="List Paragraph"/>
    <w:basedOn w:val="Normal"/>
    <w:uiPriority w:val="34"/>
    <w:qFormat/>
    <w:rsid w:val="00561D9B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561D9B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61D9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61D9B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561D9B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57D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6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2613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81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716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gress.gov/bill/115th-congress/senate-bill/312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7F70FF4-0D41-404A-90BD-17882480BA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2</Pages>
  <Words>211</Words>
  <Characters>1206</Characters>
  <Application>Microsoft Office Word</Application>
  <DocSecurity>0</DocSecurity>
  <Lines>10</Lines>
  <Paragraphs>2</Paragraphs>
  <ScaleCrop>false</ScaleCrop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Purcell</dc:creator>
  <cp:keywords/>
  <dc:description/>
  <cp:lastModifiedBy>J Purcell</cp:lastModifiedBy>
  <cp:revision>4</cp:revision>
  <dcterms:created xsi:type="dcterms:W3CDTF">2019-03-24T20:13:00Z</dcterms:created>
  <dcterms:modified xsi:type="dcterms:W3CDTF">2019-04-04T18:44:00Z</dcterms:modified>
</cp:coreProperties>
</file>