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963B7A" w14:textId="4B453C8E" w:rsidR="00966CB0" w:rsidRDefault="00892C85" w:rsidP="006A0FD1">
      <w:pPr>
        <w:spacing w:line="480" w:lineRule="auto"/>
      </w:pPr>
      <w:r>
        <w:t>Jared Purcell</w:t>
      </w:r>
      <w:r>
        <w:tab/>
        <w:t>LING582</w:t>
      </w:r>
      <w:r>
        <w:tab/>
        <w:t xml:space="preserve">Professor Weinberger </w:t>
      </w:r>
      <w:r>
        <w:tab/>
        <w:t xml:space="preserve">PAPER III </w:t>
      </w:r>
      <w:r>
        <w:tab/>
        <w:t>March 4, 2019</w:t>
      </w:r>
    </w:p>
    <w:p w14:paraId="3A30DF57" w14:textId="24E82118" w:rsidR="00892C85" w:rsidRDefault="009D7C80" w:rsidP="006A0FD1">
      <w:pPr>
        <w:spacing w:line="480" w:lineRule="auto"/>
      </w:pPr>
      <w:r>
        <w:t xml:space="preserve">Long (2005) validated my suspicions about the </w:t>
      </w:r>
      <w:r w:rsidR="00F74512">
        <w:t>Critical Period Hypothesis</w:t>
      </w:r>
      <w:r w:rsidR="003A5E62">
        <w:t>;</w:t>
      </w:r>
      <w:r w:rsidR="00F74512">
        <w:t xml:space="preserve"> (CPH)</w:t>
      </w:r>
      <w:r w:rsidR="003A5E62">
        <w:t xml:space="preserve"> it</w:t>
      </w:r>
      <w:r w:rsidR="00F74512">
        <w:t xml:space="preserve"> has less to do about the biological age of an individual, and rather the social – cultural factors</w:t>
      </w:r>
      <w:r w:rsidR="001413BC">
        <w:t xml:space="preserve"> that may be prevalent in age</w:t>
      </w:r>
      <w:r w:rsidR="00F31911" w:rsidRPr="00F31911">
        <w:t xml:space="preserve"> (Bialystok 1997:117)</w:t>
      </w:r>
      <w:r w:rsidR="001413BC">
        <w:t xml:space="preserve">. </w:t>
      </w:r>
      <w:r w:rsidR="003A5E62">
        <w:t xml:space="preserve">I do not believe there is an innate optimal biological period to acquire a language. </w:t>
      </w:r>
      <w:proofErr w:type="spellStart"/>
      <w:r w:rsidR="001413BC">
        <w:t>I</w:t>
      </w:r>
      <w:proofErr w:type="spellEnd"/>
      <w:r w:rsidR="001413BC">
        <w:t xml:space="preserve"> agree that the</w:t>
      </w:r>
      <w:bookmarkStart w:id="0" w:name="_GoBack"/>
      <w:bookmarkEnd w:id="0"/>
      <w:r w:rsidR="001413BC">
        <w:t xml:space="preserve">re are periods of growth where </w:t>
      </w:r>
      <w:r w:rsidR="003A5E62">
        <w:t>a</w:t>
      </w:r>
      <w:r w:rsidR="001413BC">
        <w:t xml:space="preserve"> child is </w:t>
      </w:r>
      <w:r w:rsidR="000B5B30">
        <w:t>susceptible</w:t>
      </w:r>
      <w:r w:rsidR="000C5E79">
        <w:t xml:space="preserve"> </w:t>
      </w:r>
      <w:r w:rsidR="000B5B30">
        <w:t xml:space="preserve">to expedient </w:t>
      </w:r>
      <w:r w:rsidR="00903A3F">
        <w:t>acquisition</w:t>
      </w:r>
      <w:r w:rsidR="000B5B30">
        <w:t>, yet this is also the natural and necessary skill</w:t>
      </w:r>
      <w:r w:rsidR="000332FC">
        <w:t xml:space="preserve"> in relation to their environment (Long, 2005:289)</w:t>
      </w:r>
      <w:r w:rsidR="000B5B30">
        <w:t xml:space="preserve">. I also argue that the L2 acquisition is different </w:t>
      </w:r>
      <w:r w:rsidR="007C1BCB">
        <w:t xml:space="preserve">from L1 </w:t>
      </w:r>
      <w:r w:rsidR="000B5B30">
        <w:t xml:space="preserve">because there is a placeholder for a semantic or “idea” and there is </w:t>
      </w:r>
      <w:r w:rsidR="00E94926">
        <w:t xml:space="preserve">(often) </w:t>
      </w:r>
      <w:r w:rsidR="000B5B30">
        <w:t>less of a “need”</w:t>
      </w:r>
      <w:r w:rsidR="006968CC">
        <w:rPr>
          <w:rStyle w:val="FootnoteReference"/>
        </w:rPr>
        <w:footnoteReference w:id="1"/>
      </w:r>
      <w:r w:rsidR="000B5B30">
        <w:t xml:space="preserve"> for the individual to acquire an additional semanti</w:t>
      </w:r>
      <w:r w:rsidR="007C1BCB">
        <w:t>c</w:t>
      </w:r>
      <w:r w:rsidR="003021E4">
        <w:t xml:space="preserve"> </w:t>
      </w:r>
      <w:r w:rsidR="007C1BCB">
        <w:t xml:space="preserve">necessary for their environment </w:t>
      </w:r>
      <w:r w:rsidR="003021E4">
        <w:t>(Bialystok, 1997)</w:t>
      </w:r>
      <w:r w:rsidR="000B5B30">
        <w:t>. Aligned more as a behaviorist, I believe that the</w:t>
      </w:r>
      <w:r w:rsidR="00903A3F">
        <w:t xml:space="preserve"> efficiency or quality of learning of language is dependent on the individual’s will, desire, and ability to manually acquiesce the meaning</w:t>
      </w:r>
      <w:r w:rsidR="003A5E62">
        <w:t xml:space="preserve"> and sounds</w:t>
      </w:r>
      <w:r w:rsidR="00903A3F">
        <w:t xml:space="preserve"> of language from a quality source</w:t>
      </w:r>
      <w:r w:rsidR="007C1BCB">
        <w:t>, again,</w:t>
      </w:r>
      <w:r w:rsidR="006968CC">
        <w:t xml:space="preserve"> </w:t>
      </w:r>
      <w:r w:rsidR="007C1BCB">
        <w:t xml:space="preserve">in their environment </w:t>
      </w:r>
      <w:r w:rsidR="006968CC">
        <w:t>(Snow</w:t>
      </w:r>
      <w:r w:rsidR="007C1BCB">
        <w:t xml:space="preserve"> et al</w:t>
      </w:r>
      <w:r w:rsidR="006968CC">
        <w:t>, 2000)</w:t>
      </w:r>
      <w:r w:rsidR="00903A3F">
        <w:t xml:space="preserve">. </w:t>
      </w:r>
      <w:r w:rsidR="00F31911">
        <w:t xml:space="preserve">For one to be efficient, I support that it would be beneficial for the individual to have had practice encoding language </w:t>
      </w:r>
      <w:r w:rsidR="0080110F">
        <w:t>advantageous</w:t>
      </w:r>
      <w:r w:rsidR="00F31911">
        <w:t xml:space="preserve"> in early childhood</w:t>
      </w:r>
      <w:r w:rsidR="0080110F">
        <w:t>/adolescence</w:t>
      </w:r>
      <w:r w:rsidR="00F31911">
        <w:t xml:space="preserve"> </w:t>
      </w:r>
      <w:r w:rsidR="0080110F">
        <w:t xml:space="preserve">in agreement with the exercise hypothesis </w:t>
      </w:r>
      <w:r w:rsidR="0080110F" w:rsidRPr="0080110F">
        <w:t>(Johnson and Newport 1989:64)</w:t>
      </w:r>
      <w:r w:rsidR="0080110F">
        <w:t xml:space="preserve">. </w:t>
      </w:r>
    </w:p>
    <w:p w14:paraId="0A409AEE" w14:textId="77777777" w:rsidR="0080110F" w:rsidRDefault="0080110F" w:rsidP="006A0FD1">
      <w:pPr>
        <w:spacing w:line="480" w:lineRule="auto"/>
      </w:pPr>
    </w:p>
    <w:p w14:paraId="459A1BFD" w14:textId="7D840B10" w:rsidR="0080110F" w:rsidRDefault="0080110F" w:rsidP="00A257E5">
      <w:pPr>
        <w:spacing w:line="480" w:lineRule="auto"/>
        <w:ind w:left="720" w:hanging="720"/>
      </w:pPr>
      <w:r w:rsidRPr="0080110F">
        <w:t>Bialystok, E. 1997. The structure of age: in search of barriers to second language acquisition. Second Language Research 13(2): 116-137.</w:t>
      </w:r>
    </w:p>
    <w:p w14:paraId="4DA957E7" w14:textId="1277DC3B" w:rsidR="0080110F" w:rsidRDefault="0080110F" w:rsidP="00A257E5">
      <w:pPr>
        <w:spacing w:line="480" w:lineRule="auto"/>
        <w:ind w:left="720" w:hanging="720"/>
      </w:pPr>
      <w:r>
        <w:t>J</w:t>
      </w:r>
      <w:r w:rsidRPr="0080110F">
        <w:t>ohnson, J.S., &amp; Newport, E.L. 1989. Critical period effects in second language learning: The influence of maturational state on the acquisition of English as a second language. Cognitive Psychology, 21, 60-99</w:t>
      </w:r>
    </w:p>
    <w:p w14:paraId="43614E80" w14:textId="6BDFDC6F" w:rsidR="00A257E5" w:rsidRDefault="00A257E5" w:rsidP="00A257E5">
      <w:pPr>
        <w:spacing w:line="480" w:lineRule="auto"/>
        <w:ind w:left="720" w:hanging="720"/>
      </w:pPr>
      <w:r>
        <w:t xml:space="preserve">Long M (2005). Problems with Supposed Counter-Evidence to the Critical Period Hypothesis. University of Maryland. Wilson Company. </w:t>
      </w:r>
      <w:proofErr w:type="spellStart"/>
      <w:r>
        <w:t>Pg</w:t>
      </w:r>
      <w:proofErr w:type="spellEnd"/>
      <w:r>
        <w:t xml:space="preserve"> 287-317.</w:t>
      </w:r>
    </w:p>
    <w:p w14:paraId="1B488B84" w14:textId="42E76D85" w:rsidR="006968CC" w:rsidRDefault="006968CC" w:rsidP="00A257E5">
      <w:pPr>
        <w:spacing w:line="480" w:lineRule="auto"/>
        <w:ind w:left="720" w:hanging="720"/>
      </w:pPr>
      <w:proofErr w:type="spellStart"/>
      <w:r w:rsidRPr="006968CC">
        <w:t>Marinova</w:t>
      </w:r>
      <w:proofErr w:type="spellEnd"/>
      <w:r w:rsidRPr="006968CC">
        <w:t xml:space="preserve">-Todd, </w:t>
      </w:r>
      <w:proofErr w:type="spellStart"/>
      <w:r w:rsidRPr="006968CC">
        <w:t>Stefka</w:t>
      </w:r>
      <w:proofErr w:type="spellEnd"/>
      <w:r w:rsidRPr="006968CC">
        <w:t xml:space="preserve"> H., D. Bradford Marshall, and Catherine E. Snow (2000). Three misconceptions about age and L2 learning. TESOL Quarterly 34 (1): 9-34.</w:t>
      </w:r>
    </w:p>
    <w:p w14:paraId="5F36DB3A" w14:textId="5BCD63EC" w:rsidR="006968CC" w:rsidRDefault="006968CC" w:rsidP="00A257E5">
      <w:pPr>
        <w:spacing w:line="480" w:lineRule="auto"/>
        <w:ind w:left="720" w:hanging="720"/>
      </w:pPr>
      <w:r>
        <w:t>Snow, Catherine E. (1983</w:t>
      </w:r>
      <w:proofErr w:type="gramStart"/>
      <w:r>
        <w:t>)</w:t>
      </w:r>
      <w:r>
        <w:t xml:space="preserve"> .Age</w:t>
      </w:r>
      <w:proofErr w:type="gramEnd"/>
      <w:r>
        <w:t xml:space="preserve"> differences in second language acquisition: Research findings and</w:t>
      </w:r>
      <w:r>
        <w:t xml:space="preserve"> </w:t>
      </w:r>
      <w:r>
        <w:t>folk psychology. In Second Language Acquisition studies, Kathleen M. Bailey, Michael H.</w:t>
      </w:r>
      <w:r w:rsidR="00A257E5">
        <w:t xml:space="preserve"> </w:t>
      </w:r>
      <w:r>
        <w:t xml:space="preserve">Long, and </w:t>
      </w:r>
      <w:r w:rsidR="00A257E5">
        <w:t>Peck S.</w:t>
      </w:r>
      <w:r>
        <w:t xml:space="preserve"> (eds.), 141-150. Rowley, MA: Newbury House</w:t>
      </w:r>
    </w:p>
    <w:sectPr w:rsidR="006968CC" w:rsidSect="00891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46E95F" w14:textId="77777777" w:rsidR="00FB4A83" w:rsidRDefault="00FB4A83" w:rsidP="006968CC">
      <w:r>
        <w:separator/>
      </w:r>
    </w:p>
  </w:endnote>
  <w:endnote w:type="continuationSeparator" w:id="0">
    <w:p w14:paraId="7A9D0342" w14:textId="77777777" w:rsidR="00FB4A83" w:rsidRDefault="00FB4A83" w:rsidP="00696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2D53CB" w14:textId="77777777" w:rsidR="00FB4A83" w:rsidRDefault="00FB4A83" w:rsidP="006968CC">
      <w:r>
        <w:separator/>
      </w:r>
    </w:p>
  </w:footnote>
  <w:footnote w:type="continuationSeparator" w:id="0">
    <w:p w14:paraId="518E8A4A" w14:textId="77777777" w:rsidR="00FB4A83" w:rsidRDefault="00FB4A83" w:rsidP="006968CC">
      <w:r>
        <w:continuationSeparator/>
      </w:r>
    </w:p>
  </w:footnote>
  <w:footnote w:id="1">
    <w:p w14:paraId="2AE98E29" w14:textId="3F2FB5B2" w:rsidR="006968CC" w:rsidRDefault="006968CC">
      <w:pPr>
        <w:pStyle w:val="FootnoteText"/>
      </w:pPr>
      <w:r>
        <w:rPr>
          <w:rStyle w:val="FootnoteReference"/>
        </w:rPr>
        <w:footnoteRef/>
      </w:r>
      <w:r>
        <w:t xml:space="preserve"> The “need” I refer to is the necessity for one to acquire a language instead of another means of communication, in manual mannerisms or their L1. I would like to know that if one’s L1 is useless in an environment, the reliance on acquiring an L2 would be done in a similar way as an L1, regardless of the persons number of acquired varieties of language. It’s not a matter of quantity; it’s a matter of method.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8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C85"/>
    <w:rsid w:val="000332FC"/>
    <w:rsid w:val="000B5B30"/>
    <w:rsid w:val="000C5E79"/>
    <w:rsid w:val="001413BC"/>
    <w:rsid w:val="00217695"/>
    <w:rsid w:val="00276BB4"/>
    <w:rsid w:val="003021E4"/>
    <w:rsid w:val="003A5E62"/>
    <w:rsid w:val="006968CC"/>
    <w:rsid w:val="006A0FD1"/>
    <w:rsid w:val="007C1BCB"/>
    <w:rsid w:val="0080110F"/>
    <w:rsid w:val="00891186"/>
    <w:rsid w:val="00892C85"/>
    <w:rsid w:val="00903A3F"/>
    <w:rsid w:val="009D7C80"/>
    <w:rsid w:val="00A257E5"/>
    <w:rsid w:val="00E94926"/>
    <w:rsid w:val="00F31911"/>
    <w:rsid w:val="00F74512"/>
    <w:rsid w:val="00FB4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C75F0F"/>
  <w15:chartTrackingRefBased/>
  <w15:docId w15:val="{A1B78D9E-8074-C943-B667-F53F47980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Doulos SIL" w:eastAsiaTheme="minorHAnsi" w:hAnsi="Doulos SIL" w:cs="Doulos SI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6968C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968C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968C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64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80586DE-92AD-2B41-940E-B9576ECD9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2</cp:revision>
  <dcterms:created xsi:type="dcterms:W3CDTF">2019-03-05T01:25:00Z</dcterms:created>
  <dcterms:modified xsi:type="dcterms:W3CDTF">2019-03-05T17:13:00Z</dcterms:modified>
</cp:coreProperties>
</file>