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39B58AA0" w14:textId="799A1DCB"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 xml:space="preserve">Professor </w:t>
      </w:r>
      <w:r w:rsidR="00F767BB" w:rsidRPr="00921496">
        <w:rPr>
          <w:rFonts w:ascii="Times New Roman" w:hAnsi="Times New Roman" w:cs="Times New Roman"/>
        </w:rPr>
        <w:t xml:space="preserve">R. </w:t>
      </w:r>
      <w:r w:rsidRPr="00921496">
        <w:rPr>
          <w:rFonts w:ascii="Times New Roman" w:hAnsi="Times New Roman" w:cs="Times New Roman"/>
        </w:rPr>
        <w:t>Nanian</w:t>
      </w:r>
    </w:p>
    <w:p w14:paraId="0C7E302D" w14:textId="0A9EE1CA"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ENGH 302-H29</w:t>
      </w:r>
    </w:p>
    <w:p w14:paraId="2E6D68B0" w14:textId="4C030A3B" w:rsidR="00BC1C6C" w:rsidRPr="00921496" w:rsidRDefault="00921496" w:rsidP="005C4803">
      <w:pPr>
        <w:spacing w:line="480" w:lineRule="auto"/>
        <w:contextualSpacing/>
        <w:rPr>
          <w:rFonts w:ascii="Times New Roman" w:hAnsi="Times New Roman" w:cs="Times New Roman"/>
        </w:rPr>
      </w:pPr>
      <w:r w:rsidRPr="00921496">
        <w:rPr>
          <w:rFonts w:ascii="Times New Roman" w:hAnsi="Times New Roman" w:cs="Times New Roman"/>
        </w:rPr>
        <w:t>April 1</w:t>
      </w:r>
      <w:r w:rsidRPr="00921496">
        <w:rPr>
          <w:rFonts w:ascii="Times New Roman" w:hAnsi="Times New Roman" w:cs="Times New Roman"/>
          <w:vertAlign w:val="superscript"/>
        </w:rPr>
        <w:t>st</w:t>
      </w:r>
      <w:r w:rsidRPr="00921496">
        <w:rPr>
          <w:rFonts w:ascii="Times New Roman" w:hAnsi="Times New Roman" w:cs="Times New Roman"/>
        </w:rPr>
        <w:t xml:space="preserve">, </w:t>
      </w:r>
    </w:p>
    <w:p w14:paraId="5C3D698B" w14:textId="50010164" w:rsidR="00AB0FCE" w:rsidRPr="00921496" w:rsidRDefault="00921496" w:rsidP="00921496">
      <w:pPr>
        <w:spacing w:line="480" w:lineRule="auto"/>
        <w:contextualSpacing/>
        <w:jc w:val="center"/>
        <w:rPr>
          <w:rFonts w:ascii="Times New Roman" w:hAnsi="Times New Roman" w:cs="Times New Roman"/>
        </w:rPr>
      </w:pPr>
      <w:r w:rsidRPr="00921496">
        <w:rPr>
          <w:rFonts w:ascii="Times New Roman" w:hAnsi="Times New Roman" w:cs="Times New Roman"/>
        </w:rPr>
        <w:t>Peer Response II: Lexi Swag</w:t>
      </w:r>
      <w:r w:rsidR="00F45ABC">
        <w:rPr>
          <w:rFonts w:ascii="Times New Roman" w:hAnsi="Times New Roman" w:cs="Times New Roman"/>
        </w:rPr>
        <w:t>g</w:t>
      </w:r>
      <w:r w:rsidRPr="00921496">
        <w:rPr>
          <w:rFonts w:ascii="Times New Roman" w:hAnsi="Times New Roman" w:cs="Times New Roman"/>
        </w:rPr>
        <w:t>er</w:t>
      </w:r>
    </w:p>
    <w:p w14:paraId="12C3AEA6" w14:textId="04EB2FCB" w:rsidR="00921496" w:rsidRPr="00921496" w:rsidRDefault="00921496" w:rsidP="00921496">
      <w:pPr>
        <w:spacing w:line="480" w:lineRule="auto"/>
        <w:ind w:firstLine="720"/>
        <w:contextualSpacing/>
        <w:rPr>
          <w:rFonts w:ascii="Times New Roman" w:hAnsi="Times New Roman" w:cs="Times New Roman"/>
        </w:rPr>
      </w:pPr>
      <w:r w:rsidRPr="00921496">
        <w:rPr>
          <w:rFonts w:ascii="Times New Roman" w:hAnsi="Times New Roman" w:cs="Times New Roman"/>
        </w:rPr>
        <w:t>Your thesis is straightforward, in that your claim uses linear logic that individuals are shaped by their past, and there is a sense of predictability between past circumstance and future behavior. The use of your quotes has one purpose: to reinforce the connections between circumstances in the past and consequences for future behavior. However, it looks like your thesis uses shared phraseology with your first quote, and that seems like an offset of Hacker’s</w:t>
      </w:r>
      <w:r w:rsidRPr="00921496">
        <w:rPr>
          <w:rStyle w:val="FootnoteReference"/>
          <w:rFonts w:ascii="Times New Roman" w:hAnsi="Times New Roman" w:cs="Times New Roman"/>
        </w:rPr>
        <w:footnoteReference w:id="1"/>
      </w:r>
      <w:r w:rsidRPr="00921496">
        <w:rPr>
          <w:rFonts w:ascii="Times New Roman" w:hAnsi="Times New Roman" w:cs="Times New Roman"/>
        </w:rPr>
        <w:t xml:space="preserve"> C4-d of transition and possibly dipping into W2-b. These things are noticeable, and if you are portraying something as your original thought, you ought to avoid it unless you intend to. You differentiate the perspective of the characters in your work in their circumstances to other normative analyses whom may be victim of similar circumstances, whereas the reader would expect euphoric escapism, your characters are subject to agony. </w:t>
      </w:r>
    </w:p>
    <w:p w14:paraId="77BC31EB" w14:textId="52A88611" w:rsidR="00921496" w:rsidRPr="00921496" w:rsidRDefault="00921496" w:rsidP="00921496">
      <w:pPr>
        <w:spacing w:line="480" w:lineRule="auto"/>
        <w:ind w:firstLine="720"/>
        <w:contextualSpacing/>
        <w:rPr>
          <w:rFonts w:ascii="Times New Roman" w:hAnsi="Times New Roman" w:cs="Times New Roman"/>
        </w:rPr>
      </w:pPr>
      <w:r w:rsidRPr="00921496">
        <w:rPr>
          <w:rFonts w:ascii="Times New Roman" w:hAnsi="Times New Roman" w:cs="Times New Roman"/>
        </w:rPr>
        <w:t xml:space="preserve">All of your quotes are the proper length and make direct relations to your argument. In Source B, you not only recognize that the extension is also an evidentiary rebuttal, which is insightful because you see that the use of either may reinforce or directly argue against its antithesis. Often when an argument is applied, know that it is not assumed that it argues against </w:t>
      </w:r>
      <w:r w:rsidRPr="00921496">
        <w:rPr>
          <w:rFonts w:ascii="Times New Roman" w:hAnsi="Times New Roman" w:cs="Times New Roman"/>
        </w:rPr>
        <w:lastRenderedPageBreak/>
        <w:t xml:space="preserve">something of an assumed opposite-- this is a logical fallacy. Basically, just because something is claimed to be one thing, it does not mean that it is not of another. </w:t>
      </w:r>
    </w:p>
    <w:p w14:paraId="262C1CC9" w14:textId="5196DC5A" w:rsidR="00921496" w:rsidRDefault="00921496" w:rsidP="00921496">
      <w:pPr>
        <w:spacing w:line="480" w:lineRule="auto"/>
        <w:ind w:firstLine="720"/>
        <w:contextualSpacing/>
        <w:rPr>
          <w:rFonts w:ascii="Times New Roman" w:hAnsi="Times New Roman" w:cs="Times New Roman"/>
        </w:rPr>
      </w:pPr>
      <w:r w:rsidRPr="00921496">
        <w:rPr>
          <w:rFonts w:ascii="Times New Roman" w:hAnsi="Times New Roman" w:cs="Times New Roman"/>
        </w:rPr>
        <w:t xml:space="preserve">Overall, it’s clean cut work and well organized. I recognize that I have trouble still discerning between type I and II quotes simply because I see things in a different light. However, your formatting has issues: block quotes, anything that enters 4 lines of quoted text needs to be indented (Sources </w:t>
      </w:r>
      <w:proofErr w:type="gramStart"/>
      <w:r w:rsidRPr="00921496">
        <w:rPr>
          <w:rFonts w:ascii="Times New Roman" w:hAnsi="Times New Roman" w:cs="Times New Roman"/>
        </w:rPr>
        <w:t>C,E</w:t>
      </w:r>
      <w:proofErr w:type="gramEnd"/>
      <w:r w:rsidRPr="00921496">
        <w:rPr>
          <w:rFonts w:ascii="Times New Roman" w:hAnsi="Times New Roman" w:cs="Times New Roman"/>
        </w:rPr>
        <w:t>, &amp; D). This also means you violated the limits of quoted text, so consider breaking it up like you did with source B. Eliminate transitions. Quotes within quotes are single quoted. Glossing over your sentence structure, I don’t see any obvious issues there, except for citations. Zotero does not have perfect punctuation, so look at your periods and commas</w:t>
      </w:r>
      <w:r w:rsidRPr="00921496">
        <w:rPr>
          <w:rStyle w:val="FootnoteReference"/>
          <w:rFonts w:ascii="Times New Roman" w:hAnsi="Times New Roman" w:cs="Times New Roman"/>
        </w:rPr>
        <w:footnoteReference w:id="2"/>
      </w:r>
      <w:r w:rsidRPr="00921496">
        <w:rPr>
          <w:rFonts w:ascii="Times New Roman" w:hAnsi="Times New Roman" w:cs="Times New Roman"/>
        </w:rPr>
        <w:t xml:space="preserve"> in your WC</w:t>
      </w:r>
      <w:r w:rsidRPr="00921496">
        <w:rPr>
          <w:rStyle w:val="FootnoteReference"/>
          <w:rFonts w:ascii="Times New Roman" w:hAnsi="Times New Roman" w:cs="Times New Roman"/>
        </w:rPr>
        <w:footnoteReference w:id="3"/>
      </w:r>
      <w:r w:rsidRPr="00921496">
        <w:rPr>
          <w:rFonts w:ascii="Times New Roman" w:hAnsi="Times New Roman" w:cs="Times New Roman"/>
        </w:rPr>
        <w:t xml:space="preserve"> as well as </w:t>
      </w:r>
      <w:proofErr w:type="gramStart"/>
      <w:r w:rsidRPr="00921496">
        <w:rPr>
          <w:rFonts w:ascii="Times New Roman" w:hAnsi="Times New Roman" w:cs="Times New Roman"/>
        </w:rPr>
        <w:t>your</w:t>
      </w:r>
      <w:proofErr w:type="gramEnd"/>
      <w:r w:rsidRPr="00921496">
        <w:rPr>
          <w:rFonts w:ascii="Times New Roman" w:hAnsi="Times New Roman" w:cs="Times New Roman"/>
        </w:rPr>
        <w:t xml:space="preserve"> In-text; you have some mistakes for placement. It’s also not that you don’t know because it’s present elsewhere; it’s just sloppiness. Your WC also has different colored grays, so I do recommend you use Zotero (It’s ours anyway.)</w:t>
      </w:r>
    </w:p>
    <w:p w14:paraId="239043A9" w14:textId="33F819C2" w:rsidR="00F45ABC" w:rsidRPr="00921496" w:rsidRDefault="00F45ABC" w:rsidP="00921496">
      <w:pPr>
        <w:spacing w:line="480" w:lineRule="auto"/>
        <w:ind w:firstLine="720"/>
        <w:contextualSpacing/>
        <w:rPr>
          <w:rFonts w:ascii="Times New Roman" w:hAnsi="Times New Roman" w:cs="Times New Roman"/>
        </w:rPr>
      </w:pPr>
      <w:r>
        <w:rPr>
          <w:rFonts w:ascii="Times New Roman" w:hAnsi="Times New Roman" w:cs="Times New Roman"/>
        </w:rPr>
        <w:t>--Word Count 500--</w:t>
      </w:r>
      <w:bookmarkStart w:id="0" w:name="_GoBack"/>
      <w:bookmarkEnd w:id="0"/>
    </w:p>
    <w:sectPr w:rsidR="00F45ABC" w:rsidRPr="00921496"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E2007" w14:textId="77777777" w:rsidR="0012708E" w:rsidRDefault="0012708E" w:rsidP="00BC1C6C">
      <w:r>
        <w:separator/>
      </w:r>
    </w:p>
  </w:endnote>
  <w:endnote w:type="continuationSeparator" w:id="0">
    <w:p w14:paraId="05375486" w14:textId="77777777" w:rsidR="0012708E" w:rsidRDefault="0012708E"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047A3F" w14:textId="77777777" w:rsidR="0012708E" w:rsidRDefault="0012708E" w:rsidP="00BC1C6C">
      <w:r>
        <w:separator/>
      </w:r>
    </w:p>
  </w:footnote>
  <w:footnote w:type="continuationSeparator" w:id="0">
    <w:p w14:paraId="558C0301" w14:textId="77777777" w:rsidR="0012708E" w:rsidRDefault="0012708E" w:rsidP="00BC1C6C">
      <w:r>
        <w:continuationSeparator/>
      </w:r>
    </w:p>
  </w:footnote>
  <w:footnote w:id="1">
    <w:p w14:paraId="7CCD7F4B" w14:textId="53AA987B" w:rsidR="00921496" w:rsidRDefault="00921496">
      <w:pPr>
        <w:pStyle w:val="FootnoteText"/>
      </w:pPr>
      <w:r>
        <w:rPr>
          <w:rStyle w:val="FootnoteReference"/>
        </w:rPr>
        <w:footnoteRef/>
      </w:r>
      <w:r>
        <w:t xml:space="preserve"> This is a grammar book I have used for years, and I highly recommend it to any person who cares about their quality of work. It changed my life and proves to be more effective than the Owl. The references W2-b here can be found on pages 153-154(pdf183-184), and the paragraph reference to C4-e is 43-45 (pdf 71-73). </w:t>
      </w:r>
      <w:r w:rsidRPr="00921496">
        <w:t>https://drive.google.com/open?id=1NO0XYNOejVwI1Axe-Ff04KMmesMMbpCE</w:t>
      </w:r>
    </w:p>
  </w:footnote>
  <w:footnote w:id="2">
    <w:p w14:paraId="1F41E951" w14:textId="0261CAF5" w:rsidR="00921496" w:rsidRDefault="00921496">
      <w:pPr>
        <w:pStyle w:val="FootnoteText"/>
      </w:pPr>
      <w:r>
        <w:rPr>
          <w:rStyle w:val="FootnoteReference"/>
        </w:rPr>
        <w:footnoteRef/>
      </w:r>
      <w:r>
        <w:t xml:space="preserve"> I believe there is a section in Hacker’s P section 257-306 (pdf 286-335) You can navigate in the pdf by clicking on the respective sections on pdf pg. 3.</w:t>
      </w:r>
    </w:p>
  </w:footnote>
  <w:footnote w:id="3">
    <w:p w14:paraId="13300C2B" w14:textId="0CB33221" w:rsidR="00921496" w:rsidRDefault="00921496">
      <w:pPr>
        <w:pStyle w:val="FootnoteText"/>
      </w:pPr>
      <w:r>
        <w:rPr>
          <w:rStyle w:val="FootnoteReference"/>
        </w:rPr>
        <w:footnoteRef/>
      </w:r>
      <w:r>
        <w:t xml:space="preserve"> Works Cited, not an intentional European toilet-water closet joke</w:t>
      </w:r>
      <w:r w:rsidR="00F45ABC">
        <w:t>, nor word count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608A4"/>
    <w:rsid w:val="001116F0"/>
    <w:rsid w:val="00111921"/>
    <w:rsid w:val="0012708E"/>
    <w:rsid w:val="001C6733"/>
    <w:rsid w:val="00217695"/>
    <w:rsid w:val="00241E4D"/>
    <w:rsid w:val="002825E2"/>
    <w:rsid w:val="003401FE"/>
    <w:rsid w:val="003B5D2C"/>
    <w:rsid w:val="004335B7"/>
    <w:rsid w:val="00563F63"/>
    <w:rsid w:val="005C4803"/>
    <w:rsid w:val="007E6240"/>
    <w:rsid w:val="00863E9C"/>
    <w:rsid w:val="00891186"/>
    <w:rsid w:val="00921496"/>
    <w:rsid w:val="00AB0FCE"/>
    <w:rsid w:val="00B00F7B"/>
    <w:rsid w:val="00BC1C6C"/>
    <w:rsid w:val="00BE4528"/>
    <w:rsid w:val="00C35CE9"/>
    <w:rsid w:val="00C60368"/>
    <w:rsid w:val="00D93AFF"/>
    <w:rsid w:val="00ED498F"/>
    <w:rsid w:val="00F45ABC"/>
    <w:rsid w:val="00F7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CCB7B-656B-1348-B9AD-6099E0FC1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dcterms:created xsi:type="dcterms:W3CDTF">2019-03-30T18:01:00Z</dcterms:created>
  <dcterms:modified xsi:type="dcterms:W3CDTF">2019-03-30T18:01:00Z</dcterms:modified>
</cp:coreProperties>
</file>