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46A994" w14:textId="79BE6098" w:rsidR="00966CB0" w:rsidRPr="00BE6B5A" w:rsidRDefault="00BC1C6C" w:rsidP="00BE6B5A">
      <w:pPr>
        <w:tabs>
          <w:tab w:val="right" w:pos="9360"/>
        </w:tabs>
        <w:spacing w:line="480" w:lineRule="auto"/>
        <w:contextualSpacing/>
      </w:pPr>
      <w:r w:rsidRPr="00BE6B5A">
        <w:t>Jared V Purcell</w:t>
      </w:r>
      <w:r w:rsidRPr="00BE6B5A">
        <w:tab/>
      </w:r>
    </w:p>
    <w:p w14:paraId="39B58AA0" w14:textId="799A1DCB" w:rsidR="00BC1C6C" w:rsidRPr="00BE6B5A" w:rsidRDefault="00BC1C6C" w:rsidP="00BE6B5A">
      <w:pPr>
        <w:spacing w:line="480" w:lineRule="auto"/>
        <w:contextualSpacing/>
      </w:pPr>
      <w:r w:rsidRPr="00BE6B5A">
        <w:t xml:space="preserve">Professor </w:t>
      </w:r>
      <w:r w:rsidR="00F767BB" w:rsidRPr="00BE6B5A">
        <w:t xml:space="preserve">R. </w:t>
      </w:r>
      <w:r w:rsidRPr="00BE6B5A">
        <w:t>Nanian</w:t>
      </w:r>
    </w:p>
    <w:p w14:paraId="0C7E302D" w14:textId="0A9EE1CA" w:rsidR="00BC1C6C" w:rsidRPr="00BE6B5A" w:rsidRDefault="00BC1C6C" w:rsidP="00BE6B5A">
      <w:pPr>
        <w:spacing w:line="480" w:lineRule="auto"/>
        <w:contextualSpacing/>
      </w:pPr>
      <w:r w:rsidRPr="00BE6B5A">
        <w:t>ENGH 302-H29</w:t>
      </w:r>
      <w:bookmarkStart w:id="0" w:name="_GoBack"/>
      <w:bookmarkEnd w:id="0"/>
    </w:p>
    <w:p w14:paraId="2E6D68B0" w14:textId="34507E27" w:rsidR="00BC1C6C" w:rsidRPr="00BE6B5A" w:rsidRDefault="00BE6B5A" w:rsidP="00BE6B5A">
      <w:pPr>
        <w:spacing w:line="480" w:lineRule="auto"/>
        <w:contextualSpacing/>
      </w:pPr>
      <w:r w:rsidRPr="00BE6B5A">
        <w:t>March 27, 2019</w:t>
      </w:r>
    </w:p>
    <w:p w14:paraId="38247305" w14:textId="58C0AC36" w:rsidR="00B04E43" w:rsidRDefault="00B04E43" w:rsidP="00BE6B5A">
      <w:pPr>
        <w:spacing w:line="480" w:lineRule="auto"/>
        <w:contextualSpacing/>
        <w:jc w:val="center"/>
      </w:pPr>
      <w:r>
        <w:t>Language Documentation</w:t>
      </w:r>
      <w:r w:rsidR="009851F2">
        <w:t xml:space="preserve"> Theor</w:t>
      </w:r>
      <w:r w:rsidR="00C6675A">
        <w:t>y</w:t>
      </w:r>
      <w:r w:rsidR="009851F2">
        <w:t>:</w:t>
      </w:r>
    </w:p>
    <w:p w14:paraId="31395961" w14:textId="3DA86BAB" w:rsidR="00B04E43" w:rsidRDefault="00B04E43" w:rsidP="00B04E43">
      <w:pPr>
        <w:spacing w:line="480" w:lineRule="auto"/>
        <w:contextualSpacing/>
        <w:jc w:val="center"/>
      </w:pPr>
      <w:r>
        <w:t>Influencing Factors for Finnic Language Preservation</w:t>
      </w:r>
    </w:p>
    <w:p w14:paraId="6FB9446B" w14:textId="5B4C9DF9" w:rsidR="00B04E43" w:rsidRDefault="00B04E43" w:rsidP="00BE6B5A">
      <w:pPr>
        <w:spacing w:line="480" w:lineRule="auto"/>
        <w:contextualSpacing/>
        <w:jc w:val="center"/>
      </w:pPr>
      <w:r w:rsidRPr="00BE6B5A">
        <w:t>Advanced Research Project Part</w:t>
      </w:r>
      <w:r w:rsidR="00067583">
        <w:t xml:space="preserve"> I</w:t>
      </w:r>
    </w:p>
    <w:p w14:paraId="72230B23" w14:textId="695D5F88" w:rsidR="00BE6B5A" w:rsidRDefault="00B04E43" w:rsidP="00B04E43">
      <w:pPr>
        <w:spacing w:line="480" w:lineRule="auto"/>
      </w:pPr>
      <w:r>
        <w:t xml:space="preserve"> </w:t>
      </w:r>
      <w:r w:rsidR="00BE6B5A">
        <w:t>[scholarly journal]</w:t>
      </w:r>
    </w:p>
    <w:p w14:paraId="7ABC4427" w14:textId="72B55E5A" w:rsidR="00B04E43" w:rsidRDefault="00B04E43" w:rsidP="00B04E43">
      <w:pPr>
        <w:spacing w:line="480" w:lineRule="auto"/>
        <w:contextualSpacing/>
      </w:pPr>
      <w:r>
        <w:t>1) “</w:t>
      </w:r>
      <w:r w:rsidRPr="00B04E43">
        <w:t>Language documentation and description of all types depend critically on technical notation and</w:t>
      </w:r>
      <w:r>
        <w:t xml:space="preserve"> </w:t>
      </w:r>
      <w:r w:rsidRPr="00B04E43">
        <w:t>vocabulary, and ambiguous or unknown terms compromise portability.</w:t>
      </w:r>
      <w:r>
        <w:t>”</w:t>
      </w:r>
      <w:r w:rsidRPr="00B04E43">
        <w:t xml:space="preserve"> </w:t>
      </w:r>
      <w:r>
        <w:t xml:space="preserve">(Bird and Simons, 563) The use of this quote </w:t>
      </w:r>
      <w:r w:rsidRPr="00B04E43">
        <w:rPr>
          <w:b/>
          <w:u w:val="single"/>
        </w:rPr>
        <w:t>extends</w:t>
      </w:r>
      <w:r>
        <w:t xml:space="preserve"> support that the use of language documentation depends on the understanding of human languages and how they differ. The difference of human languages supports how precise we as researchers can be. Languages are better preserved given the optimal precision through comparing language</w:t>
      </w:r>
      <w:r w:rsidR="00C20E73">
        <w:t xml:space="preserve"> varieties</w:t>
      </w:r>
      <w:r>
        <w:t xml:space="preserve"> and improving technical notation. </w:t>
      </w:r>
      <w:r w:rsidR="00067583">
        <w:t xml:space="preserve">Technical notation is the use of nomenclature, form and diacritics that describe language in the most precise manner. </w:t>
      </w:r>
      <w:r>
        <w:t>By improving technical notations, phonetic and lexical inventories can be better analyzed to improve philological study</w:t>
      </w:r>
      <w:r w:rsidR="00C20E73">
        <w:t xml:space="preserve"> and language vitality</w:t>
      </w:r>
      <w:r>
        <w:t xml:space="preserve">. That is, the network of human language relations over time.   </w:t>
      </w:r>
    </w:p>
    <w:p w14:paraId="55B7013D" w14:textId="77777777" w:rsidR="00B04E43" w:rsidRDefault="00B04E43" w:rsidP="00B04E43">
      <w:pPr>
        <w:spacing w:line="480" w:lineRule="auto"/>
        <w:contextualSpacing/>
      </w:pPr>
    </w:p>
    <w:p w14:paraId="526E0843" w14:textId="4B8971E6" w:rsidR="00B04E43" w:rsidRDefault="00B04E43" w:rsidP="00067583">
      <w:pPr>
        <w:spacing w:line="480" w:lineRule="auto"/>
        <w:ind w:left="720"/>
        <w:contextualSpacing/>
      </w:pPr>
      <w:r>
        <w:t>2) “</w:t>
      </w:r>
      <w:r w:rsidRPr="00B04E43">
        <w:rPr>
          <w:u w:val="single"/>
        </w:rPr>
        <w:t>The symbols used in phonetic transcription have variable interpretation depending on the descriptive tradition:</w:t>
      </w:r>
      <w:r w:rsidRPr="00B04E43">
        <w:t xml:space="preserve"> ‘it is crucial to be</w:t>
      </w:r>
      <w:r>
        <w:t xml:space="preserve"> </w:t>
      </w:r>
      <w:r w:rsidRPr="00B04E43">
        <w:t xml:space="preserve">aware of the background of the writer when interpreting an unexplained occurrence of [y]’ </w:t>
      </w:r>
      <w:r>
        <w:t>[</w:t>
      </w:r>
      <w:r w:rsidRPr="00B04E43">
        <w:t>Pullum and</w:t>
      </w:r>
      <w:r>
        <w:t xml:space="preserve"> </w:t>
      </w:r>
      <w:proofErr w:type="spellStart"/>
      <w:r w:rsidRPr="00B04E43">
        <w:t>Ladusaw</w:t>
      </w:r>
      <w:proofErr w:type="spellEnd"/>
      <w:r w:rsidRPr="00B04E43">
        <w:t xml:space="preserve"> 1986:168</w:t>
      </w:r>
      <w:r>
        <w:t>]</w:t>
      </w:r>
      <w:r w:rsidRPr="00B04E43">
        <w:t>. In morphosyntax, the term ‘absolutive’ can refer to one of the cases in an ergative</w:t>
      </w:r>
      <w:r>
        <w:t xml:space="preserve"> </w:t>
      </w:r>
      <w:r w:rsidRPr="00B04E43">
        <w:t xml:space="preserve">language, </w:t>
      </w:r>
      <w:r w:rsidRPr="00B04E43">
        <w:lastRenderedPageBreak/>
        <w:t xml:space="preserve">or to the unpossessed form of a noun as in the Uto-Aztecan tradition </w:t>
      </w:r>
      <w:r>
        <w:t>[</w:t>
      </w:r>
      <w:r w:rsidRPr="00B04E43">
        <w:t>Lewis et al. 2001:151</w:t>
      </w:r>
      <w:r>
        <w:t>]</w:t>
      </w:r>
      <w:r w:rsidRPr="00B04E43">
        <w:t>, and</w:t>
      </w:r>
      <w:r>
        <w:t xml:space="preserve"> </w:t>
      </w:r>
      <w:r w:rsidRPr="00B04E43">
        <w:t>a correct interpretation of the term depends on an understanding of the linguistic context.</w:t>
      </w:r>
      <w:r>
        <w:t xml:space="preserve">” (Bird and Simons, 563) </w:t>
      </w:r>
      <w:r w:rsidR="00067583">
        <w:t>(</w:t>
      </w:r>
      <w:proofErr w:type="spellStart"/>
      <w:r w:rsidR="00067583">
        <w:t>TypeI</w:t>
      </w:r>
      <w:proofErr w:type="spellEnd"/>
      <w:r w:rsidR="00067583">
        <w:t xml:space="preserve"> &gt; Type II)</w:t>
      </w:r>
    </w:p>
    <w:p w14:paraId="4C804FB9" w14:textId="6F69A49F" w:rsidR="00B04E43" w:rsidRDefault="00B04E43" w:rsidP="00B04E43">
      <w:pPr>
        <w:spacing w:line="480" w:lineRule="auto"/>
        <w:contextualSpacing/>
      </w:pPr>
      <w:r>
        <w:t xml:space="preserve">The underlined portion of this quote is all that’s necessary to </w:t>
      </w:r>
      <w:r w:rsidRPr="00B04E43">
        <w:rPr>
          <w:b/>
          <w:u w:val="single"/>
        </w:rPr>
        <w:t>extend</w:t>
      </w:r>
      <w:r>
        <w:t xml:space="preserve"> on the quote above about technical notation in reference to the importance of precision. Examples following are precisely how I would use the material, but with Estonian and other Finnic-family data. Moreover, the data that would be found in the Slavic languages would not be found with the same aspect in Finnish. </w:t>
      </w:r>
      <w:r w:rsidR="00067583">
        <w:t xml:space="preserve">The more markedness a language has, the more precision linguistics can acquire from it for cross-linguistic nomenclature. </w:t>
      </w:r>
      <w:r>
        <w:t xml:space="preserve">I would take this need for precision and </w:t>
      </w:r>
      <w:r w:rsidRPr="00B04E43">
        <w:rPr>
          <w:b/>
          <w:u w:val="single"/>
        </w:rPr>
        <w:t>apply</w:t>
      </w:r>
      <w:r>
        <w:t xml:space="preserve"> it to my ‘Slavic genitive subset’ theory that supports the need for such cross-linguistic precision. </w:t>
      </w:r>
    </w:p>
    <w:p w14:paraId="748FAD21" w14:textId="7CC3BDE5" w:rsidR="00BE6B5A" w:rsidRDefault="00BE6B5A" w:rsidP="00BE6B5A">
      <w:pPr>
        <w:spacing w:line="480" w:lineRule="auto"/>
        <w:ind w:left="720" w:hanging="720"/>
        <w:contextualSpacing/>
      </w:pPr>
    </w:p>
    <w:p w14:paraId="7C58EBA1" w14:textId="5AD6659C" w:rsidR="00BE6B5A" w:rsidRDefault="001E3AAB" w:rsidP="00BE6B5A">
      <w:pPr>
        <w:spacing w:line="480" w:lineRule="auto"/>
        <w:ind w:left="720" w:hanging="720"/>
        <w:contextualSpacing/>
      </w:pPr>
      <w:r>
        <w:t xml:space="preserve">Scholarly </w:t>
      </w:r>
      <w:r w:rsidR="00B04E43">
        <w:t>Book</w:t>
      </w:r>
    </w:p>
    <w:p w14:paraId="6239CD70" w14:textId="013747A8" w:rsidR="00B04E43" w:rsidRDefault="00B04E43" w:rsidP="00B04E43">
      <w:pPr>
        <w:spacing w:line="480" w:lineRule="auto"/>
        <w:contextualSpacing/>
      </w:pPr>
      <w:r>
        <w:t>3) “</w:t>
      </w:r>
      <w:r w:rsidRPr="00B04E43">
        <w:t>Media are also significant</w:t>
      </w:r>
      <w:r>
        <w:t xml:space="preserve"> </w:t>
      </w:r>
      <w:r w:rsidRPr="00B04E43">
        <w:t>in the preservation and vitality of these languages because they constitute</w:t>
      </w:r>
      <w:r>
        <w:t xml:space="preserve"> areas for creativity and renewal.” (</w:t>
      </w:r>
      <w:proofErr w:type="spellStart"/>
      <w:r>
        <w:t>Cocq</w:t>
      </w:r>
      <w:proofErr w:type="spellEnd"/>
      <w:r>
        <w:t xml:space="preserve">, 97). </w:t>
      </w:r>
    </w:p>
    <w:p w14:paraId="40C4A4EA" w14:textId="6E61629E" w:rsidR="00B04E43" w:rsidRDefault="00B04E43" w:rsidP="00B04E43">
      <w:pPr>
        <w:spacing w:line="480" w:lineRule="auto"/>
        <w:contextualSpacing/>
      </w:pPr>
      <w:r>
        <w:t xml:space="preserve">I </w:t>
      </w:r>
      <w:r w:rsidRPr="00B04E43">
        <w:rPr>
          <w:b/>
          <w:u w:val="single"/>
        </w:rPr>
        <w:t>apply</w:t>
      </w:r>
      <w:r>
        <w:t xml:space="preserve"> this ideal of language preservation that is tied to (</w:t>
      </w:r>
      <w:proofErr w:type="spellStart"/>
      <w:r>
        <w:t>Janse</w:t>
      </w:r>
      <w:proofErr w:type="spellEnd"/>
      <w:r>
        <w:t xml:space="preserve">)’s theory of social support </w:t>
      </w:r>
      <w:r w:rsidR="009B5BF6">
        <w:t xml:space="preserve">that </w:t>
      </w:r>
      <w:r>
        <w:t>predict</w:t>
      </w:r>
      <w:r w:rsidR="009B5BF6">
        <w:t>s</w:t>
      </w:r>
      <w:r>
        <w:t xml:space="preserve"> the vitality of endangered </w:t>
      </w:r>
      <w:r w:rsidR="009B5BF6">
        <w:t>language varieties</w:t>
      </w:r>
      <w:r>
        <w:t xml:space="preserve">. I </w:t>
      </w:r>
      <w:r w:rsidR="00C20E73">
        <w:t>theorize</w:t>
      </w:r>
      <w:r>
        <w:t xml:space="preserve"> that the morphological and philological proximity to language is another means of support. </w:t>
      </w:r>
      <w:r w:rsidR="00067583">
        <w:t xml:space="preserve">Media is the practice of a language variety preserved in material: books, poetry, folklore, etc. </w:t>
      </w:r>
      <w:r>
        <w:t xml:space="preserve">This quote is evidence that indigenous varieties of languages may be preserved through the media and blended with the superstrate language </w:t>
      </w:r>
      <w:proofErr w:type="spellStart"/>
      <w:r>
        <w:t>iff</w:t>
      </w:r>
      <w:proofErr w:type="spellEnd"/>
      <w:r>
        <w:t xml:space="preserve"> they have morphological closeness referenced in (</w:t>
      </w:r>
      <w:proofErr w:type="spellStart"/>
      <w:r>
        <w:t>Kusmenko</w:t>
      </w:r>
      <w:proofErr w:type="spellEnd"/>
      <w:r>
        <w:t>)</w:t>
      </w:r>
      <w:r w:rsidR="00C20E73">
        <w:t>.</w:t>
      </w:r>
    </w:p>
    <w:p w14:paraId="728BA6A9" w14:textId="77777777" w:rsidR="00B04E43" w:rsidRDefault="00B04E43" w:rsidP="00B04E43">
      <w:pPr>
        <w:spacing w:line="480" w:lineRule="auto"/>
        <w:contextualSpacing/>
      </w:pPr>
    </w:p>
    <w:p w14:paraId="744CB920" w14:textId="5E3A6D00" w:rsidR="00B04E43" w:rsidRDefault="00B04E43" w:rsidP="00B04E43">
      <w:pPr>
        <w:spacing w:line="480" w:lineRule="auto"/>
        <w:contextualSpacing/>
      </w:pPr>
      <w:r>
        <w:t>4)“</w:t>
      </w:r>
      <w:r w:rsidRPr="00B04E43">
        <w:t>Adaptations of storytelling also imply a risk of losing the variety that exists</w:t>
      </w:r>
      <w:r>
        <w:t xml:space="preserve"> </w:t>
      </w:r>
      <w:r w:rsidRPr="00B04E43">
        <w:t>within a strong storytelling tradition</w:t>
      </w:r>
      <w:r>
        <w:t>”</w:t>
      </w:r>
      <w:r w:rsidRPr="00B04E43">
        <w:t xml:space="preserve"> </w:t>
      </w:r>
      <w:r>
        <w:t>(cocq,101).</w:t>
      </w:r>
    </w:p>
    <w:p w14:paraId="3F30143F" w14:textId="1A987003" w:rsidR="00B04E43" w:rsidRPr="00B04E43" w:rsidRDefault="00B04E43" w:rsidP="00B04E43">
      <w:pPr>
        <w:spacing w:line="480" w:lineRule="auto"/>
        <w:contextualSpacing/>
      </w:pPr>
      <w:r>
        <w:rPr>
          <w:b/>
          <w:u w:val="single"/>
        </w:rPr>
        <w:lastRenderedPageBreak/>
        <w:t xml:space="preserve">Logical </w:t>
      </w:r>
      <w:proofErr w:type="spellStart"/>
      <w:r w:rsidRPr="00B04E43">
        <w:rPr>
          <w:b/>
          <w:u w:val="single"/>
        </w:rPr>
        <w:t>Rebuttle</w:t>
      </w:r>
      <w:proofErr w:type="spellEnd"/>
      <w:r w:rsidRPr="00B04E43">
        <w:rPr>
          <w:b/>
          <w:u w:val="single"/>
        </w:rPr>
        <w:t>:</w:t>
      </w:r>
      <w:r>
        <w:rPr>
          <w:b/>
          <w:u w:val="single"/>
        </w:rPr>
        <w:t xml:space="preserve"> </w:t>
      </w:r>
      <w:r>
        <w:t xml:space="preserve">Linguistic contact would cause a shift in the variety of language while on contact with another or glossed outside of its </w:t>
      </w:r>
      <w:r w:rsidR="00C20E73">
        <w:t xml:space="preserve">original </w:t>
      </w:r>
      <w:r>
        <w:t>prose. In order to be effectively blended, a language would need to have morphological proximity insofar that it would not change major pragmatic values in similar allomorphs. For an example, the Finnish genitive and Estonian partitive are allomorphs and the use of either in the other language, despite mutual comprehensibility would deviate pragmatic</w:t>
      </w:r>
      <w:r w:rsidR="00067583">
        <w:t>/semantic, but not grammaticality</w:t>
      </w:r>
      <w:r>
        <w:t>. Lastly, unreferenced in (</w:t>
      </w:r>
      <w:proofErr w:type="spellStart"/>
      <w:r>
        <w:t>cocq</w:t>
      </w:r>
      <w:proofErr w:type="spellEnd"/>
      <w:r>
        <w:t xml:space="preserve">)’s work, some Uralic (the language family in which Finnic resides) varieties have marked morphemes for poetic speech that would not transfer in glossed work. (like your brothers </w:t>
      </w:r>
      <w:proofErr w:type="spellStart"/>
      <w:r>
        <w:t>Karamzov</w:t>
      </w:r>
      <w:proofErr w:type="spellEnd"/>
      <w:r>
        <w:t xml:space="preserve"> example)</w:t>
      </w:r>
    </w:p>
    <w:p w14:paraId="21353BF7" w14:textId="77777777" w:rsidR="00B04E43" w:rsidRDefault="00B04E43" w:rsidP="00B04E43">
      <w:pPr>
        <w:spacing w:line="480" w:lineRule="auto"/>
        <w:contextualSpacing/>
      </w:pPr>
    </w:p>
    <w:p w14:paraId="379E035B" w14:textId="48449B05" w:rsidR="00BE6B5A" w:rsidRDefault="00B04E43" w:rsidP="00B04E43">
      <w:pPr>
        <w:spacing w:line="480" w:lineRule="auto"/>
        <w:contextualSpacing/>
      </w:pPr>
      <w:r>
        <w:t>5) “</w:t>
      </w:r>
      <w:r w:rsidRPr="00B04E43">
        <w:t>The communicative dimension of</w:t>
      </w:r>
      <w:r>
        <w:t xml:space="preserve"> </w:t>
      </w:r>
      <w:r w:rsidRPr="00B04E43">
        <w:t>storytelling appears secondary in contemporary examples, and it is the</w:t>
      </w:r>
      <w:r>
        <w:t xml:space="preserve"> </w:t>
      </w:r>
      <w:r w:rsidRPr="00B04E43">
        <w:t>entertainment dimension—which has traditionally been only a rhetorical</w:t>
      </w:r>
      <w:r>
        <w:t xml:space="preserve"> </w:t>
      </w:r>
      <w:r w:rsidRPr="00B04E43">
        <w:t>means—that is now the primary focus</w:t>
      </w:r>
      <w:r>
        <w:t xml:space="preserve"> </w:t>
      </w:r>
      <w:r w:rsidRPr="00B04E43">
        <w:t>arenas for creativity and renewal</w:t>
      </w:r>
      <w:r>
        <w:t>” (</w:t>
      </w:r>
      <w:proofErr w:type="spellStart"/>
      <w:r>
        <w:t>Cocq</w:t>
      </w:r>
      <w:proofErr w:type="spellEnd"/>
      <w:r>
        <w:t xml:space="preserve">, 97). </w:t>
      </w:r>
    </w:p>
    <w:p w14:paraId="0341AF3C" w14:textId="770D282A" w:rsidR="00B04E43" w:rsidRDefault="00B04E43" w:rsidP="00B04E43">
      <w:pPr>
        <w:spacing w:line="480" w:lineRule="auto"/>
        <w:contextualSpacing/>
      </w:pPr>
      <w:r w:rsidRPr="00B04E43">
        <w:rPr>
          <w:b/>
          <w:u w:val="single"/>
        </w:rPr>
        <w:t>Extend</w:t>
      </w:r>
      <w:r>
        <w:t xml:space="preserve">: Examples of creative speech to preserve languages becomes novel so the target language is not skewed from its own original variety. Narratives of comprehensible language can be well preserved without change that would happen on a normal continuum. In the way that preserved middle English variety exists in Chaucer or Shakespearian prose, the morphological variance has not skewed, </w:t>
      </w:r>
      <w:r w:rsidR="00067583">
        <w:t>instead</w:t>
      </w:r>
      <w:r>
        <w:t xml:space="preserve"> rather stagnated. In the Finnic languages, the origin stories in the </w:t>
      </w:r>
      <w:r w:rsidRPr="00067583">
        <w:rPr>
          <w:i/>
        </w:rPr>
        <w:t>Kalevala</w:t>
      </w:r>
      <w:r>
        <w:t xml:space="preserve">, </w:t>
      </w:r>
      <w:r w:rsidR="00067583">
        <w:t>referenced</w:t>
      </w:r>
      <w:r>
        <w:t xml:space="preserve"> in (</w:t>
      </w:r>
      <w:proofErr w:type="spellStart"/>
      <w:r>
        <w:t>Liiv</w:t>
      </w:r>
      <w:proofErr w:type="spellEnd"/>
      <w:r>
        <w:t>) and (</w:t>
      </w:r>
      <w:proofErr w:type="spellStart"/>
      <w:r>
        <w:t>Puhvel</w:t>
      </w:r>
      <w:proofErr w:type="spellEnd"/>
      <w:r>
        <w:t xml:space="preserve">) </w:t>
      </w:r>
      <w:r w:rsidR="001E3AAB">
        <w:t xml:space="preserve">are examples of mutually comprehensible varieties of poetic speech preserved in contemporary variety. </w:t>
      </w:r>
      <w:r w:rsidR="001E3AAB" w:rsidRPr="001E3AAB">
        <w:rPr>
          <w:b/>
          <w:u w:val="single"/>
        </w:rPr>
        <w:t>Evidentiary Rebuttal</w:t>
      </w:r>
      <w:r w:rsidR="001E3AAB">
        <w:t xml:space="preserve">: the variety of the </w:t>
      </w:r>
      <w:r w:rsidR="001E3AAB" w:rsidRPr="00067583">
        <w:rPr>
          <w:i/>
        </w:rPr>
        <w:t>Kalevala</w:t>
      </w:r>
      <w:r w:rsidR="001E3AAB">
        <w:t xml:space="preserve"> are blended with a Finnish variety before Swedish independence that contains proto-Finnic and Sámi-Scandinavian morphology—</w:t>
      </w:r>
      <w:r w:rsidR="001E3AAB" w:rsidRPr="001E3AAB">
        <w:rPr>
          <w:b/>
          <w:u w:val="single"/>
        </w:rPr>
        <w:t>Logical Rebuttal</w:t>
      </w:r>
      <w:r w:rsidR="001E3AAB">
        <w:t xml:space="preserve">: Therefore, the analogy of </w:t>
      </w:r>
      <w:r w:rsidR="001E3AAB">
        <w:lastRenderedPageBreak/>
        <w:t>comparing languages with endogenic versus exogenic continuum is fallible</w:t>
      </w:r>
      <w:r w:rsidR="00067583">
        <w:t xml:space="preserve">; meaning, comparing </w:t>
      </w:r>
      <w:r w:rsidR="00AF7E20">
        <w:t>languages</w:t>
      </w:r>
      <w:r w:rsidR="00067583">
        <w:t xml:space="preserve"> that differ from styles origin is not parallel.</w:t>
      </w:r>
    </w:p>
    <w:p w14:paraId="4C34E7EF" w14:textId="77777777" w:rsidR="00B04E43" w:rsidRPr="00BE6B5A" w:rsidRDefault="00B04E43" w:rsidP="00B04E43">
      <w:pPr>
        <w:spacing w:line="480" w:lineRule="auto"/>
        <w:contextualSpacing/>
      </w:pPr>
    </w:p>
    <w:p w14:paraId="211E8AA4" w14:textId="4825D7EC" w:rsidR="00B04E43" w:rsidRDefault="00B04E43" w:rsidP="00067583">
      <w:pPr>
        <w:spacing w:line="480" w:lineRule="auto"/>
        <w:ind w:left="720" w:hanging="720"/>
        <w:contextualSpacing/>
      </w:pPr>
      <w:r>
        <w:t xml:space="preserve">Hickey, Raymond. </w:t>
      </w:r>
      <w:r>
        <w:rPr>
          <w:i/>
          <w:iCs/>
        </w:rPr>
        <w:t>The Handbook of Language Contact</w:t>
      </w:r>
      <w:r>
        <w:t>. 2013.</w:t>
      </w:r>
      <w:r w:rsidR="00067583">
        <w:t xml:space="preserve"> (Type II)? [Book]</w:t>
      </w:r>
    </w:p>
    <w:p w14:paraId="037B9780" w14:textId="00B51C9C" w:rsidR="00B04E43" w:rsidRDefault="00C20E73" w:rsidP="001E3AAB">
      <w:pPr>
        <w:spacing w:line="480" w:lineRule="auto"/>
        <w:contextualSpacing/>
      </w:pPr>
      <w:r>
        <w:t xml:space="preserve">(extend) </w:t>
      </w:r>
      <w:r w:rsidR="001E3AAB">
        <w:t>I found this work while searching for the publication data for (Stonham). I could not find a copy to read between the submission date of this paper. The extension of the work would come from summarization of formal style and technique of language documentation. I expect that it would also have a lot of quotable material relative to the effects of language contact within the same family. Inasmuch, the difference of creole and dialectically shifted varieties.</w:t>
      </w:r>
    </w:p>
    <w:p w14:paraId="411ED5D0" w14:textId="77777777" w:rsidR="00BE6B5A" w:rsidRPr="00BE6B5A" w:rsidRDefault="00BE6B5A" w:rsidP="00BE6B5A">
      <w:pPr>
        <w:spacing w:line="480" w:lineRule="auto"/>
        <w:ind w:left="720" w:hanging="720"/>
        <w:contextualSpacing/>
      </w:pPr>
    </w:p>
    <w:p w14:paraId="5448D8EA" w14:textId="0FEFED1A" w:rsidR="00BE6B5A" w:rsidRDefault="00BE6B5A" w:rsidP="00BE6B5A">
      <w:pPr>
        <w:spacing w:line="480" w:lineRule="auto"/>
        <w:ind w:left="720" w:hanging="720"/>
        <w:contextualSpacing/>
      </w:pPr>
      <w:r>
        <w:t>[scholarly book]</w:t>
      </w:r>
      <w:r w:rsidR="00B04E43">
        <w:t xml:space="preserve"> </w:t>
      </w:r>
    </w:p>
    <w:p w14:paraId="7476E460" w14:textId="56DF044F" w:rsidR="00B04E43" w:rsidRDefault="00B04E43" w:rsidP="00B04E43">
      <w:pPr>
        <w:spacing w:line="480" w:lineRule="auto"/>
        <w:contextualSpacing/>
      </w:pPr>
      <w:r>
        <w:t>6)“If the case endings are prepositions they presumably also behave syntactically like prepositions and not like structural case endings” (</w:t>
      </w:r>
      <w:r w:rsidR="001E3AAB">
        <w:t>Holmberg</w:t>
      </w:r>
      <w:r>
        <w:t xml:space="preserve">, 78) </w:t>
      </w:r>
    </w:p>
    <w:p w14:paraId="5EE8B943" w14:textId="1C9832F5" w:rsidR="00B04E43" w:rsidRDefault="001E3AAB" w:rsidP="001E3AAB">
      <w:pPr>
        <w:spacing w:line="480" w:lineRule="auto"/>
        <w:contextualSpacing/>
      </w:pPr>
      <w:r w:rsidRPr="001E3AAB">
        <w:rPr>
          <w:b/>
          <w:u w:val="single"/>
        </w:rPr>
        <w:t>Application</w:t>
      </w:r>
      <w:r>
        <w:t>: This reference styled book is focused enough that it s</w:t>
      </w:r>
      <w:r w:rsidR="00B04E43">
        <w:t xml:space="preserve">upports case differentiation </w:t>
      </w:r>
      <w:r>
        <w:t>in the</w:t>
      </w:r>
      <w:r w:rsidR="00B04E43">
        <w:t xml:space="preserve"> analysis of (</w:t>
      </w:r>
      <w:proofErr w:type="spellStart"/>
      <w:r w:rsidR="00B04E43">
        <w:t>cocq</w:t>
      </w:r>
      <w:proofErr w:type="spellEnd"/>
      <w:r w:rsidR="00B04E43">
        <w:t>) and [</w:t>
      </w:r>
      <w:r>
        <w:t xml:space="preserve">Primary &amp; </w:t>
      </w:r>
      <w:r w:rsidR="00B04E43">
        <w:t>Type II] raw data like (Grimes)</w:t>
      </w:r>
      <w:r>
        <w:t xml:space="preserve"> and (</w:t>
      </w:r>
      <w:proofErr w:type="spellStart"/>
      <w:r>
        <w:t>Puhvel</w:t>
      </w:r>
      <w:proofErr w:type="spellEnd"/>
      <w:r>
        <w:t xml:space="preserve">). The theories in Finnic languages are </w:t>
      </w:r>
      <w:r w:rsidRPr="001E3AAB">
        <w:rPr>
          <w:b/>
          <w:u w:val="single"/>
        </w:rPr>
        <w:t>extended</w:t>
      </w:r>
      <w:r>
        <w:t xml:space="preserve"> into my argument: morphological types make the difference between languages that can be mutually comprehensible and preserved in another. </w:t>
      </w:r>
      <w:r w:rsidR="00C20E73">
        <w:t xml:space="preserve">We have to assume there is some knowledge or the ability to be linguistically insightful when reading similar, but endangered varieties of language in poetic prose. </w:t>
      </w:r>
    </w:p>
    <w:p w14:paraId="4B439F6E" w14:textId="4C2D2FD9" w:rsidR="00B04E43" w:rsidRDefault="00B04E43" w:rsidP="001E3AAB">
      <w:pPr>
        <w:spacing w:line="480" w:lineRule="auto"/>
        <w:contextualSpacing/>
      </w:pPr>
    </w:p>
    <w:p w14:paraId="4A5BC7C3" w14:textId="67F142E8" w:rsidR="00B04E43" w:rsidRDefault="00BE6B5A" w:rsidP="00B04E43">
      <w:pPr>
        <w:spacing w:line="480" w:lineRule="auto"/>
        <w:ind w:left="720" w:hanging="720"/>
        <w:contextualSpacing/>
      </w:pPr>
      <w:r>
        <w:t>[scholarly book]</w:t>
      </w:r>
    </w:p>
    <w:p w14:paraId="09B67210" w14:textId="0F9DF9A9" w:rsidR="00BE6B5A" w:rsidRDefault="00B04E43" w:rsidP="00B04E43">
      <w:pPr>
        <w:spacing w:line="480" w:lineRule="auto"/>
        <w:contextualSpacing/>
      </w:pPr>
      <w:r>
        <w:t>7) “L</w:t>
      </w:r>
      <w:r w:rsidRPr="00B04E43">
        <w:t>inguicide and linguistic discrimination may add to language</w:t>
      </w:r>
      <w:r>
        <w:t xml:space="preserve"> </w:t>
      </w:r>
      <w:r w:rsidRPr="00B04E43">
        <w:t>death</w:t>
      </w:r>
      <w:r>
        <w:t>;</w:t>
      </w:r>
      <w:r w:rsidRPr="00B04E43">
        <w:t xml:space="preserve"> they are at the same time powerful forces in the reawakening of ethnic</w:t>
      </w:r>
      <w:r>
        <w:t xml:space="preserve"> </w:t>
      </w:r>
      <w:r w:rsidRPr="00B04E43">
        <w:t xml:space="preserve">identity feelings among speakers of </w:t>
      </w:r>
      <w:r w:rsidRPr="00B04E43">
        <w:lastRenderedPageBreak/>
        <w:t>endangered minority languages, which</w:t>
      </w:r>
      <w:r>
        <w:t xml:space="preserve"> </w:t>
      </w:r>
      <w:r w:rsidRPr="00B04E43">
        <w:t>appears to have become a global trend from about 1970 onwards</w:t>
      </w:r>
      <w:r>
        <w:t>” (</w:t>
      </w:r>
      <w:proofErr w:type="spellStart"/>
      <w:r>
        <w:t>Janse</w:t>
      </w:r>
      <w:proofErr w:type="spellEnd"/>
      <w:r>
        <w:t>, 10)</w:t>
      </w:r>
    </w:p>
    <w:p w14:paraId="16363650" w14:textId="4E3B93D7" w:rsidR="001E3AAB" w:rsidRDefault="001E3AAB" w:rsidP="001E3AAB">
      <w:pPr>
        <w:spacing w:line="480" w:lineRule="auto"/>
        <w:contextualSpacing/>
      </w:pPr>
      <w:proofErr w:type="spellStart"/>
      <w:r>
        <w:t>Janse</w:t>
      </w:r>
      <w:r w:rsidR="00067583">
        <w:t>’s</w:t>
      </w:r>
      <w:proofErr w:type="spellEnd"/>
      <w:r>
        <w:t xml:space="preserve"> theories on language preservation are </w:t>
      </w:r>
      <w:r w:rsidRPr="001E3AAB">
        <w:rPr>
          <w:b/>
          <w:u w:val="single"/>
        </w:rPr>
        <w:t>extended</w:t>
      </w:r>
      <w:r>
        <w:t xml:space="preserve"> in cooperation with the theories support the predictability of endangered varieties. Linguicide specifically refers to the absolutism of a variety by a state or nation of people that would therefore alter morphological and semantic properties of a variety in contact (</w:t>
      </w:r>
      <w:proofErr w:type="spellStart"/>
      <w:r>
        <w:t>cocq</w:t>
      </w:r>
      <w:proofErr w:type="spellEnd"/>
      <w:r>
        <w:t>). While a country may have an “official language,” the act of language recognition simultaneously encourages endangered varieties to be mobilized in media(</w:t>
      </w:r>
      <w:proofErr w:type="spellStart"/>
      <w:r>
        <w:t>cocq</w:t>
      </w:r>
      <w:proofErr w:type="spellEnd"/>
      <w:r>
        <w:t xml:space="preserve">). Observed in Klaus’ work with Grimes, the research of indigenous languages can be effective even with the most morphologically complex and isolated languages. If a language that is closely related to the superstrate language is recognized, discriminated without dissent, then the mobilization of its use and preservation supports its survival. </w:t>
      </w:r>
    </w:p>
    <w:p w14:paraId="16A04C7F" w14:textId="77777777" w:rsidR="00BE6B5A" w:rsidRPr="00BE6B5A" w:rsidRDefault="00BE6B5A" w:rsidP="001E3AAB">
      <w:pPr>
        <w:spacing w:line="480" w:lineRule="auto"/>
        <w:contextualSpacing/>
      </w:pPr>
    </w:p>
    <w:p w14:paraId="339538D5" w14:textId="55D04111" w:rsidR="001E3AAB" w:rsidRDefault="001E3AAB" w:rsidP="00BE6B5A">
      <w:pPr>
        <w:spacing w:line="480" w:lineRule="auto"/>
        <w:ind w:left="720" w:hanging="720"/>
        <w:contextualSpacing/>
      </w:pPr>
      <w:r>
        <w:t xml:space="preserve"> [scholarly Journal]</w:t>
      </w:r>
    </w:p>
    <w:p w14:paraId="4B37F08D" w14:textId="0061E56E" w:rsidR="00B04E43" w:rsidRDefault="00B04E43" w:rsidP="00B04E43">
      <w:pPr>
        <w:spacing w:line="480" w:lineRule="auto"/>
      </w:pPr>
      <w:r>
        <w:t>8)“</w:t>
      </w:r>
      <w:r w:rsidR="00067583">
        <w:t>A</w:t>
      </w:r>
      <w:r>
        <w:t xml:space="preserve"> reader unfamiliar with Finnish myth and folklore is likely to question the logic of this combination of ambush and creation… Such an inconsistency is too great to be embodied in an original composition” (</w:t>
      </w:r>
      <w:proofErr w:type="spellStart"/>
      <w:r>
        <w:t>Puhvel</w:t>
      </w:r>
      <w:proofErr w:type="spellEnd"/>
      <w:r>
        <w:t>, 4)</w:t>
      </w:r>
    </w:p>
    <w:p w14:paraId="5B3D98A8" w14:textId="49DA5FD9" w:rsidR="001E3AAB" w:rsidRDefault="001E3AAB" w:rsidP="00B04E43">
      <w:pPr>
        <w:spacing w:line="480" w:lineRule="auto"/>
      </w:pPr>
      <w:r w:rsidRPr="001E3AAB">
        <w:rPr>
          <w:b/>
          <w:u w:val="single"/>
        </w:rPr>
        <w:t>Applied</w:t>
      </w:r>
      <w:r>
        <w:t>: if one were to gloss a variety in a work, the means of it would be applied to the hosting language, so languages without some morphological proximity would question the premise of logics with cultural relevance. Endangered languages in this process would experience loss of morphological markedness in the glossed variety(</w:t>
      </w:r>
      <w:proofErr w:type="spellStart"/>
      <w:r>
        <w:t>cocq</w:t>
      </w:r>
      <w:proofErr w:type="spellEnd"/>
      <w:r>
        <w:t>). Poetic language in endangered varieties, the kind of rhetoric that would be preserved and transferred in other languages is abstract and therefore may lose the original meaning in metaphoric speech.</w:t>
      </w:r>
    </w:p>
    <w:p w14:paraId="253C973B" w14:textId="77777777" w:rsidR="001E3AAB" w:rsidRDefault="001E3AAB" w:rsidP="00B04E43">
      <w:pPr>
        <w:spacing w:line="480" w:lineRule="auto"/>
      </w:pPr>
    </w:p>
    <w:p w14:paraId="32F53E42" w14:textId="77777777" w:rsidR="001E3AAB" w:rsidRDefault="00B04E43" w:rsidP="00B04E43">
      <w:pPr>
        <w:spacing w:line="480" w:lineRule="auto"/>
      </w:pPr>
      <w:r w:rsidRPr="00067583">
        <w:lastRenderedPageBreak/>
        <w:t>9)“</w:t>
      </w:r>
      <w:r w:rsidRPr="00B04E43">
        <w:rPr>
          <w:u w:val="single"/>
        </w:rPr>
        <w:t>The song in question betrays yet other external influences on its composition.</w:t>
      </w:r>
      <w:r>
        <w:t xml:space="preserve"> Thus, as initially pointed out by </w:t>
      </w:r>
      <w:proofErr w:type="spellStart"/>
      <w:r>
        <w:t>Kaarle</w:t>
      </w:r>
      <w:proofErr w:type="spellEnd"/>
      <w:r>
        <w:t xml:space="preserve"> </w:t>
      </w:r>
      <w:proofErr w:type="spellStart"/>
      <w:r>
        <w:t>Krohn</w:t>
      </w:r>
      <w:proofErr w:type="spellEnd"/>
      <w:r>
        <w:t>, the ship-motif represents an echo of the song of 'Brother slain on the Ship” (</w:t>
      </w:r>
      <w:proofErr w:type="spellStart"/>
      <w:r>
        <w:t>Puhvel</w:t>
      </w:r>
      <w:proofErr w:type="spellEnd"/>
      <w:r>
        <w:t xml:space="preserve">, 11) </w:t>
      </w:r>
    </w:p>
    <w:p w14:paraId="2609296F" w14:textId="2049F439" w:rsidR="00B04E43" w:rsidRDefault="001E3AAB" w:rsidP="00B04E43">
      <w:pPr>
        <w:spacing w:line="480" w:lineRule="auto"/>
      </w:pPr>
      <w:r w:rsidRPr="001E3AAB">
        <w:rPr>
          <w:b/>
          <w:u w:val="single"/>
        </w:rPr>
        <w:t>Applied:</w:t>
      </w:r>
      <w:r>
        <w:t xml:space="preserve"> </w:t>
      </w:r>
      <w:r w:rsidR="00B04E43">
        <w:t>Supports the premise that folk tales and minor cultures are deep seated within macro languages</w:t>
      </w:r>
      <w:r>
        <w:t>’</w:t>
      </w:r>
      <w:r w:rsidR="00B04E43">
        <w:t xml:space="preserve"> stylistic level. </w:t>
      </w:r>
      <w:r>
        <w:t xml:space="preserve">Phraseology and use of endangered languages are used in languages in contact, regardless of morphological proximity. This evidence shows that varieties of endangered languages may not be affected by superstrate contact when the context is transferred. </w:t>
      </w:r>
    </w:p>
    <w:p w14:paraId="14277066" w14:textId="77777777" w:rsidR="00BE6B5A" w:rsidRPr="00BE6B5A" w:rsidRDefault="00BE6B5A" w:rsidP="00C20E73">
      <w:pPr>
        <w:spacing w:line="480" w:lineRule="auto"/>
        <w:contextualSpacing/>
      </w:pPr>
    </w:p>
    <w:p w14:paraId="71AEFFDA" w14:textId="349F24D5" w:rsidR="00B04E43" w:rsidRDefault="00BE6B5A" w:rsidP="00BE6B5A">
      <w:pPr>
        <w:spacing w:line="480" w:lineRule="auto"/>
        <w:ind w:left="720" w:hanging="720"/>
        <w:contextualSpacing/>
      </w:pPr>
      <w:proofErr w:type="spellStart"/>
      <w:r w:rsidRPr="00BE6B5A">
        <w:t>Thieberger</w:t>
      </w:r>
      <w:proofErr w:type="spellEnd"/>
      <w:r w:rsidRPr="00BE6B5A">
        <w:t xml:space="preserve">, Nick. </w:t>
      </w:r>
      <w:r w:rsidRPr="00BE6B5A">
        <w:rPr>
          <w:i/>
          <w:iCs/>
        </w:rPr>
        <w:t>The Oxford Handbook of Linguistic Fieldwork</w:t>
      </w:r>
      <w:r w:rsidRPr="00BE6B5A">
        <w:t>. Oxford University Press, 2014.</w:t>
      </w:r>
      <w:r>
        <w:t xml:space="preserve"> [Book]</w:t>
      </w:r>
      <w:r w:rsidR="00B04E43">
        <w:t xml:space="preserve"> </w:t>
      </w:r>
      <w:r w:rsidR="00067583">
        <w:t>(Type II)?</w:t>
      </w:r>
    </w:p>
    <w:p w14:paraId="512B18C3" w14:textId="74AF6D43" w:rsidR="00BE6B5A" w:rsidRPr="00BE6B5A" w:rsidRDefault="00B04E43" w:rsidP="00B04E43">
      <w:pPr>
        <w:spacing w:line="480" w:lineRule="auto"/>
        <w:contextualSpacing/>
      </w:pPr>
      <w:r>
        <w:t>Whereas the whole book applies to this study, the 10</w:t>
      </w:r>
      <w:r w:rsidRPr="00B04E43">
        <w:rPr>
          <w:vertAlign w:val="superscript"/>
        </w:rPr>
        <w:t>th</w:t>
      </w:r>
      <w:r>
        <w:t xml:space="preserve"> chapter on consultants and field locations provides supportive information to the aspect of the paper. Without a formal knowledge on the process, researchers would not be able to </w:t>
      </w:r>
      <w:r w:rsidR="001E3AAB">
        <w:t xml:space="preserve">apply the knowledge on the above works ethically or effectively. No explicit quote is used here, but the premise of this paper comes from the ethical methodology framed in this guide. </w:t>
      </w:r>
    </w:p>
    <w:p w14:paraId="7A890E1F" w14:textId="103B86B6" w:rsidR="00BE6B5A" w:rsidRDefault="00BE6B5A" w:rsidP="00BE6B5A">
      <w:pPr>
        <w:spacing w:line="480" w:lineRule="auto"/>
        <w:contextualSpacing/>
      </w:pPr>
    </w:p>
    <w:p w14:paraId="585D2499" w14:textId="1EAD6335" w:rsidR="00BE6B5A" w:rsidRPr="00BE6B5A" w:rsidRDefault="00BE6B5A" w:rsidP="00BE6B5A">
      <w:pPr>
        <w:spacing w:line="480" w:lineRule="auto"/>
        <w:ind w:hanging="480"/>
      </w:pPr>
    </w:p>
    <w:p w14:paraId="0EC6B1C5" w14:textId="2496A7F8" w:rsidR="00B04E43" w:rsidRPr="00BE6B5A" w:rsidRDefault="001E3AAB" w:rsidP="00BE6B5A">
      <w:pPr>
        <w:spacing w:line="480" w:lineRule="auto"/>
      </w:pPr>
      <w:r>
        <w:t xml:space="preserve"> </w:t>
      </w:r>
      <w:r w:rsidR="00BE6B5A">
        <w:t>[Journal Article]</w:t>
      </w:r>
      <w:r w:rsidR="00B04E43">
        <w:t xml:space="preserve"> </w:t>
      </w:r>
    </w:p>
    <w:p w14:paraId="3BDA4AE1" w14:textId="45DBB1E2" w:rsidR="00B04E43" w:rsidRDefault="00B04E43" w:rsidP="00B04E43">
      <w:pPr>
        <w:spacing w:line="480" w:lineRule="auto"/>
      </w:pPr>
      <w:r>
        <w:t>10) “The dialect area of northeastern Scandinavia is characterized by vowel balance, level stress, metaphony, and consonant lengthening in original short syllable words. All these features indicate the close cohesion between the elements of a word. … of all Sámi dialects” (Kusmenko,210)</w:t>
      </w:r>
    </w:p>
    <w:p w14:paraId="2D236B78" w14:textId="1140BB6E" w:rsidR="001E3AAB" w:rsidRDefault="001E3AAB" w:rsidP="00B04E43">
      <w:pPr>
        <w:spacing w:line="480" w:lineRule="auto"/>
      </w:pPr>
      <w:r w:rsidRPr="001E3AAB">
        <w:rPr>
          <w:b/>
          <w:u w:val="single"/>
        </w:rPr>
        <w:lastRenderedPageBreak/>
        <w:t>Apply</w:t>
      </w:r>
      <w:r>
        <w:t>: the comparison of languages in the Finnic family share a variety of major morphologic markedness. Because the features are found in endangered and indigenous varieties of language, the proximity of these languages allow for better preservation. Because the languages share a mutual intelligibility and slight changes that may be considered a style of dialectic variety, the ability to integrate them is possible and effective.</w:t>
      </w:r>
    </w:p>
    <w:p w14:paraId="08FF8E30" w14:textId="77777777" w:rsidR="001E3AAB" w:rsidRDefault="001E3AAB" w:rsidP="00B04E43">
      <w:pPr>
        <w:spacing w:line="480" w:lineRule="auto"/>
      </w:pPr>
    </w:p>
    <w:p w14:paraId="67EEF0B1" w14:textId="69DF8878" w:rsidR="00B04E43" w:rsidRDefault="00B04E43" w:rsidP="00B04E43">
      <w:pPr>
        <w:spacing w:line="480" w:lineRule="auto"/>
      </w:pPr>
      <w:r>
        <w:t>11) “Most Finno-Ugric languages have progressive vowel assimilation (vowel harmony). But, characteristic of Sámi is a regressive assimilation (metaphony), where the vowel quality of the following syllable affects the vowel quality of the root syllable” (Kusmenko,214)</w:t>
      </w:r>
    </w:p>
    <w:p w14:paraId="56ABB275" w14:textId="48F00D97" w:rsidR="00BE6B5A" w:rsidRDefault="001E3AAB" w:rsidP="00BE6B5A">
      <w:pPr>
        <w:spacing w:line="480" w:lineRule="auto"/>
        <w:contextualSpacing/>
      </w:pPr>
      <w:r w:rsidRPr="001E3AAB">
        <w:rPr>
          <w:b/>
          <w:u w:val="single"/>
        </w:rPr>
        <w:t>Evidential Rebuttal</w:t>
      </w:r>
      <w:r>
        <w:rPr>
          <w:b/>
          <w:u w:val="single"/>
        </w:rPr>
        <w:t>/Applied</w:t>
      </w:r>
      <w:r w:rsidRPr="001E3AAB">
        <w:rPr>
          <w:b/>
          <w:u w:val="single"/>
        </w:rPr>
        <w:t>:</w:t>
      </w:r>
      <w:r>
        <w:t xml:space="preserve">  The rebuttal comes from saying that metaphony is a dissimilarity within the </w:t>
      </w:r>
      <w:r w:rsidR="00067583">
        <w:t>F</w:t>
      </w:r>
      <w:r>
        <w:t>innic languages. The key word here is “most.” Estonian is a metaphonic language that measures vowel quality and quantity uniquely compared to other languages. I argue that the preservation of Estonian specifically and its mutual proto-</w:t>
      </w:r>
      <w:r w:rsidR="00067583">
        <w:t>F</w:t>
      </w:r>
      <w:r>
        <w:t>innic relation with Sámi and Scandinavian varieties supports the theory that languages can be mutually supportive/preservative based on similar morphological structure, exampled in languages such as V</w:t>
      </w:r>
      <w:r w:rsidR="009851F2">
        <w:t>õ</w:t>
      </w:r>
      <w:r>
        <w:t>ro, Livonian.</w:t>
      </w:r>
    </w:p>
    <w:p w14:paraId="67549455" w14:textId="32CB7385" w:rsidR="00B04E43" w:rsidRDefault="00B04E43" w:rsidP="00BE6B5A">
      <w:pPr>
        <w:spacing w:line="480" w:lineRule="auto"/>
        <w:contextualSpacing/>
      </w:pPr>
    </w:p>
    <w:p w14:paraId="4EB4663D" w14:textId="3533F04E" w:rsidR="00B04E43" w:rsidRPr="00067583" w:rsidRDefault="00B04E43" w:rsidP="00BE6B5A">
      <w:pPr>
        <w:spacing w:line="480" w:lineRule="auto"/>
        <w:contextualSpacing/>
        <w:rPr>
          <w:u w:val="single"/>
        </w:rPr>
      </w:pPr>
      <w:r>
        <w:t xml:space="preserve">Thesis: </w:t>
      </w:r>
      <w:r w:rsidR="001E3AAB">
        <w:t>T</w:t>
      </w:r>
      <w:r>
        <w:t xml:space="preserve">he preservation of </w:t>
      </w:r>
      <w:r w:rsidR="001E3AAB">
        <w:t>languages</w:t>
      </w:r>
      <w:r>
        <w:t xml:space="preserve"> with shared morphological traits assists in the </w:t>
      </w:r>
      <w:r w:rsidR="001E3AAB">
        <w:t>survival</w:t>
      </w:r>
      <w:r>
        <w:t xml:space="preserve"> of endangered </w:t>
      </w:r>
      <w:r w:rsidR="001E3AAB">
        <w:t xml:space="preserve">varieties. Whereas endangered language varieties may be in active process of documentation or used within a superstrate language, </w:t>
      </w:r>
      <w:r w:rsidR="001E3AAB" w:rsidRPr="00067583">
        <w:rPr>
          <w:u w:val="single"/>
        </w:rPr>
        <w:t>the morphological proximity of one language to another is a socially supportive means of linguistic vitality.</w:t>
      </w:r>
    </w:p>
    <w:p w14:paraId="280F666F" w14:textId="71D96B24" w:rsidR="001E3AAB" w:rsidRDefault="001E3AAB">
      <w:r>
        <w:br w:type="page"/>
      </w:r>
    </w:p>
    <w:p w14:paraId="3CF03479" w14:textId="77777777" w:rsidR="001E3AAB" w:rsidRDefault="001E3AAB" w:rsidP="00BE6B5A">
      <w:pPr>
        <w:spacing w:line="480" w:lineRule="auto"/>
        <w:contextualSpacing/>
      </w:pPr>
    </w:p>
    <w:p w14:paraId="3B7537D3" w14:textId="62DA0F7E" w:rsidR="00B04E43" w:rsidRDefault="00B04E43" w:rsidP="00B04E43">
      <w:pPr>
        <w:spacing w:line="480" w:lineRule="auto"/>
        <w:contextualSpacing/>
        <w:jc w:val="center"/>
      </w:pPr>
      <w:r>
        <w:t>Works Cited</w:t>
      </w:r>
    </w:p>
    <w:p w14:paraId="62913428" w14:textId="21B9AB0E" w:rsidR="00B04E43" w:rsidRDefault="00B04E43" w:rsidP="001E3AAB">
      <w:pPr>
        <w:spacing w:line="480" w:lineRule="auto"/>
        <w:ind w:left="720" w:hanging="720"/>
        <w:contextualSpacing/>
      </w:pPr>
      <w:r w:rsidRPr="00BE6B5A">
        <w:t xml:space="preserve">Bird, Steven and Gary Simons. “Seven Dimensions of Portability for Language Documentation and Description.” </w:t>
      </w:r>
      <w:r w:rsidRPr="00BE6B5A">
        <w:rPr>
          <w:i/>
          <w:iCs/>
        </w:rPr>
        <w:t>Language</w:t>
      </w:r>
      <w:r w:rsidRPr="00BE6B5A">
        <w:t>, vol. 79, no. 3, 2003, pp. 557–82.</w:t>
      </w:r>
    </w:p>
    <w:p w14:paraId="6AE3FBBE" w14:textId="315EF059" w:rsidR="00B04E43" w:rsidRDefault="00B04E43" w:rsidP="001E3AAB">
      <w:pPr>
        <w:spacing w:line="480" w:lineRule="auto"/>
        <w:ind w:left="720" w:hanging="720"/>
        <w:contextualSpacing/>
      </w:pPr>
      <w:proofErr w:type="spellStart"/>
      <w:r w:rsidRPr="00BE6B5A">
        <w:t>Cocq</w:t>
      </w:r>
      <w:proofErr w:type="spellEnd"/>
      <w:r w:rsidRPr="00BE6B5A">
        <w:t xml:space="preserve">, </w:t>
      </w:r>
      <w:proofErr w:type="spellStart"/>
      <w:r w:rsidRPr="00BE6B5A">
        <w:t>Coppélie</w:t>
      </w:r>
      <w:proofErr w:type="spellEnd"/>
      <w:r w:rsidRPr="00BE6B5A">
        <w:t>. “</w:t>
      </w:r>
      <w:proofErr w:type="spellStart"/>
      <w:r w:rsidRPr="00BE6B5A">
        <w:t>Tjutju</w:t>
      </w:r>
      <w:proofErr w:type="spellEnd"/>
      <w:r w:rsidRPr="00BE6B5A">
        <w:t xml:space="preserve">.” </w:t>
      </w:r>
      <w:r w:rsidRPr="00BE6B5A">
        <w:rPr>
          <w:i/>
          <w:iCs/>
        </w:rPr>
        <w:t xml:space="preserve">Indigenous </w:t>
      </w:r>
      <w:r w:rsidRPr="009851F2">
        <w:rPr>
          <w:i/>
          <w:iCs/>
        </w:rPr>
        <w:t>Efflorescence</w:t>
      </w:r>
      <w:r w:rsidRPr="009851F2">
        <w:t xml:space="preserve">, edited by Gerald Roche et al., ANU Press, 2018, pp. 95–98. JSTOR, </w:t>
      </w:r>
      <w:r w:rsidRPr="009851F2">
        <w:rPr>
          <w:i/>
          <w:iCs/>
        </w:rPr>
        <w:t>JSTOR</w:t>
      </w:r>
      <w:r w:rsidRPr="009851F2">
        <w:t xml:space="preserve">, </w:t>
      </w:r>
      <w:hyperlink r:id="rId7" w:history="1">
        <w:r w:rsidRPr="009851F2">
          <w:t>http://www.jstor.org/stable/j.ctv9hj9pb.19</w:t>
        </w:r>
      </w:hyperlink>
      <w:r w:rsidRPr="009851F2">
        <w:t>.</w:t>
      </w:r>
    </w:p>
    <w:p w14:paraId="7FD08C12" w14:textId="774A825C" w:rsidR="001E3AAB" w:rsidRDefault="001E3AAB" w:rsidP="001E3AAB">
      <w:pPr>
        <w:spacing w:line="480" w:lineRule="auto"/>
        <w:ind w:left="720" w:hanging="720"/>
        <w:contextualSpacing/>
      </w:pPr>
      <w:r w:rsidRPr="00BE6B5A">
        <w:t xml:space="preserve">Grimes, Barbara </w:t>
      </w:r>
      <w:r w:rsidR="00023B96">
        <w:t>F</w:t>
      </w:r>
      <w:r w:rsidRPr="00BE6B5A">
        <w:t xml:space="preserve">., et al. </w:t>
      </w:r>
      <w:proofErr w:type="spellStart"/>
      <w:r w:rsidRPr="00BE6B5A">
        <w:rPr>
          <w:i/>
          <w:iCs/>
        </w:rPr>
        <w:t>Ethnologue</w:t>
      </w:r>
      <w:proofErr w:type="spellEnd"/>
      <w:r w:rsidRPr="00BE6B5A">
        <w:rPr>
          <w:i/>
          <w:iCs/>
        </w:rPr>
        <w:t>: Languages of the World</w:t>
      </w:r>
      <w:r w:rsidRPr="00BE6B5A">
        <w:t>. Summer Institute of Linguistics, 1988.</w:t>
      </w:r>
    </w:p>
    <w:p w14:paraId="6471AA59" w14:textId="77A10B92" w:rsidR="001E3AAB" w:rsidRDefault="001E3AAB" w:rsidP="001E3AAB">
      <w:pPr>
        <w:spacing w:line="480" w:lineRule="auto"/>
        <w:ind w:left="720" w:hanging="720"/>
        <w:contextualSpacing/>
      </w:pPr>
      <w:r>
        <w:t xml:space="preserve">Hickey, Raymond. </w:t>
      </w:r>
      <w:r>
        <w:rPr>
          <w:i/>
          <w:iCs/>
        </w:rPr>
        <w:t>The Handbook of Language Contact</w:t>
      </w:r>
      <w:r>
        <w:t>. 2013</w:t>
      </w:r>
    </w:p>
    <w:p w14:paraId="22374AF8" w14:textId="60BF69C8" w:rsidR="00B04E43" w:rsidRDefault="001E3AAB" w:rsidP="001E3AAB">
      <w:pPr>
        <w:spacing w:line="480" w:lineRule="auto"/>
        <w:ind w:left="720" w:hanging="720"/>
        <w:contextualSpacing/>
      </w:pPr>
      <w:r w:rsidRPr="00BE6B5A">
        <w:t xml:space="preserve">Holmberg, Anders and </w:t>
      </w:r>
      <w:proofErr w:type="spellStart"/>
      <w:r w:rsidRPr="00BE6B5A">
        <w:t>Urpo</w:t>
      </w:r>
      <w:proofErr w:type="spellEnd"/>
      <w:r w:rsidRPr="00BE6B5A">
        <w:t xml:space="preserve"> </w:t>
      </w:r>
      <w:proofErr w:type="spellStart"/>
      <w:r w:rsidRPr="00BE6B5A">
        <w:t>Nikanne</w:t>
      </w:r>
      <w:proofErr w:type="spellEnd"/>
      <w:r w:rsidRPr="00BE6B5A">
        <w:t xml:space="preserve">. </w:t>
      </w:r>
      <w:r w:rsidRPr="00BE6B5A">
        <w:rPr>
          <w:i/>
          <w:iCs/>
        </w:rPr>
        <w:t>Case and Other Functional Categories in Finnish Syntax</w:t>
      </w:r>
      <w:r w:rsidRPr="00BE6B5A">
        <w:t>. Walter de Gruyter GmbH &amp; Co KG, 2015.</w:t>
      </w:r>
    </w:p>
    <w:p w14:paraId="2A4A0B6E" w14:textId="775198E0" w:rsidR="001E3AAB" w:rsidRDefault="001E3AAB" w:rsidP="001E3AAB">
      <w:pPr>
        <w:spacing w:line="480" w:lineRule="auto"/>
        <w:ind w:left="720" w:hanging="720"/>
        <w:contextualSpacing/>
      </w:pPr>
      <w:proofErr w:type="spellStart"/>
      <w:r w:rsidRPr="00BE6B5A">
        <w:t>Janse</w:t>
      </w:r>
      <w:proofErr w:type="spellEnd"/>
      <w:r w:rsidRPr="00BE6B5A">
        <w:t xml:space="preserve">, Mark and </w:t>
      </w:r>
      <w:proofErr w:type="spellStart"/>
      <w:r w:rsidRPr="00BE6B5A">
        <w:t>Sijmen</w:t>
      </w:r>
      <w:proofErr w:type="spellEnd"/>
      <w:r w:rsidRPr="00BE6B5A">
        <w:t xml:space="preserve"> </w:t>
      </w:r>
      <w:proofErr w:type="spellStart"/>
      <w:r w:rsidRPr="00BE6B5A">
        <w:t>Tol</w:t>
      </w:r>
      <w:proofErr w:type="spellEnd"/>
      <w:r w:rsidRPr="00BE6B5A">
        <w:t xml:space="preserve">. </w:t>
      </w:r>
      <w:r w:rsidRPr="00BE6B5A">
        <w:rPr>
          <w:i/>
          <w:iCs/>
        </w:rPr>
        <w:t>Language Death and Language Maintenance: Theoretical, Practical and Descriptive Approaches</w:t>
      </w:r>
      <w:r w:rsidRPr="00BE6B5A">
        <w:t>. John Benjamins Publishing, 2003.</w:t>
      </w:r>
    </w:p>
    <w:p w14:paraId="1062C9BB" w14:textId="4832C9BB" w:rsidR="001E3AAB" w:rsidRDefault="001E3AAB" w:rsidP="001E3AAB">
      <w:pPr>
        <w:spacing w:line="480" w:lineRule="auto"/>
        <w:ind w:left="720" w:hanging="720"/>
        <w:contextualSpacing/>
      </w:pPr>
      <w:proofErr w:type="spellStart"/>
      <w:r w:rsidRPr="00BE6B5A">
        <w:t>K</w:t>
      </w:r>
      <w:r>
        <w:t>usmenko</w:t>
      </w:r>
      <w:proofErr w:type="spellEnd"/>
      <w:r w:rsidRPr="00BE6B5A">
        <w:t xml:space="preserve">, </w:t>
      </w:r>
      <w:proofErr w:type="spellStart"/>
      <w:r>
        <w:t>Juril</w:t>
      </w:r>
      <w:proofErr w:type="spellEnd"/>
      <w:r w:rsidRPr="00BE6B5A">
        <w:t xml:space="preserve"> and M</w:t>
      </w:r>
      <w:r>
        <w:t>ichael</w:t>
      </w:r>
      <w:r w:rsidRPr="00BE6B5A">
        <w:t xml:space="preserve"> </w:t>
      </w:r>
      <w:proofErr w:type="spellStart"/>
      <w:r w:rsidRPr="00BE6B5A">
        <w:t>R</w:t>
      </w:r>
      <w:r>
        <w:t>iessler</w:t>
      </w:r>
      <w:proofErr w:type="spellEnd"/>
      <w:r w:rsidRPr="00BE6B5A">
        <w:t>. “T</w:t>
      </w:r>
      <w:r>
        <w:t>races</w:t>
      </w:r>
      <w:r w:rsidRPr="00BE6B5A">
        <w:t xml:space="preserve"> </w:t>
      </w:r>
      <w:r>
        <w:t>of</w:t>
      </w:r>
      <w:r w:rsidRPr="00BE6B5A">
        <w:t xml:space="preserve"> S</w:t>
      </w:r>
      <w:r>
        <w:t>ámi</w:t>
      </w:r>
      <w:r w:rsidRPr="00BE6B5A">
        <w:t>-</w:t>
      </w:r>
      <w:proofErr w:type="spellStart"/>
      <w:r w:rsidRPr="00BE6B5A">
        <w:t>S</w:t>
      </w:r>
      <w:r>
        <w:t>candanavian</w:t>
      </w:r>
      <w:proofErr w:type="spellEnd"/>
      <w:r w:rsidRPr="00BE6B5A">
        <w:t xml:space="preserve"> C</w:t>
      </w:r>
      <w:r>
        <w:t>ontact</w:t>
      </w:r>
      <w:r w:rsidRPr="00BE6B5A">
        <w:t xml:space="preserve"> in S</w:t>
      </w:r>
      <w:r>
        <w:t>candinavian</w:t>
      </w:r>
      <w:r w:rsidRPr="00BE6B5A">
        <w:t xml:space="preserve"> D</w:t>
      </w:r>
      <w:r>
        <w:t>ialects</w:t>
      </w:r>
      <w:r w:rsidRPr="00BE6B5A">
        <w:t xml:space="preserve">.” </w:t>
      </w:r>
      <w:r w:rsidRPr="00BE6B5A">
        <w:rPr>
          <w:i/>
          <w:iCs/>
        </w:rPr>
        <w:t>Studies in Slavic and General Linguistics</w:t>
      </w:r>
      <w:r w:rsidRPr="00BE6B5A">
        <w:t>, vol. 28, 2000, pp. 209–24.</w:t>
      </w:r>
      <w:r>
        <w:t xml:space="preserve"> </w:t>
      </w:r>
    </w:p>
    <w:p w14:paraId="313347F6" w14:textId="4EF40B5A" w:rsidR="001E3AAB" w:rsidRDefault="001E3AAB" w:rsidP="001E3AAB">
      <w:pPr>
        <w:spacing w:line="480" w:lineRule="auto"/>
        <w:ind w:left="720" w:hanging="720"/>
        <w:contextualSpacing/>
      </w:pPr>
      <w:proofErr w:type="spellStart"/>
      <w:r w:rsidRPr="00BE6B5A">
        <w:rPr>
          <w:iCs/>
        </w:rPr>
        <w:t>Liiv</w:t>
      </w:r>
      <w:proofErr w:type="spellEnd"/>
      <w:r w:rsidRPr="00BE6B5A">
        <w:rPr>
          <w:iCs/>
        </w:rPr>
        <w:t xml:space="preserve">, </w:t>
      </w:r>
      <w:proofErr w:type="spellStart"/>
      <w:r w:rsidRPr="00BE6B5A">
        <w:rPr>
          <w:iCs/>
        </w:rPr>
        <w:t>Juhan</w:t>
      </w:r>
      <w:proofErr w:type="spellEnd"/>
      <w:r w:rsidRPr="00BE6B5A">
        <w:rPr>
          <w:iCs/>
        </w:rPr>
        <w:t>.</w:t>
      </w:r>
      <w:r w:rsidRPr="00BE6B5A">
        <w:rPr>
          <w:i/>
          <w:iCs/>
        </w:rPr>
        <w:t xml:space="preserve"> “</w:t>
      </w:r>
      <w:proofErr w:type="spellStart"/>
      <w:r w:rsidRPr="00BE6B5A">
        <w:rPr>
          <w:iCs/>
        </w:rPr>
        <w:t>Kust</w:t>
      </w:r>
      <w:proofErr w:type="spellEnd"/>
      <w:r w:rsidRPr="00BE6B5A">
        <w:rPr>
          <w:iCs/>
        </w:rPr>
        <w:t xml:space="preserve"> </w:t>
      </w:r>
      <w:proofErr w:type="spellStart"/>
      <w:r w:rsidRPr="00BE6B5A">
        <w:rPr>
          <w:iCs/>
        </w:rPr>
        <w:t>Jalgtee</w:t>
      </w:r>
      <w:proofErr w:type="spellEnd"/>
      <w:r w:rsidRPr="00BE6B5A">
        <w:rPr>
          <w:iCs/>
        </w:rPr>
        <w:t xml:space="preserve"> </w:t>
      </w:r>
      <w:proofErr w:type="spellStart"/>
      <w:r w:rsidRPr="00BE6B5A">
        <w:rPr>
          <w:iCs/>
        </w:rPr>
        <w:t>Kõrvale</w:t>
      </w:r>
      <w:proofErr w:type="spellEnd"/>
      <w:r w:rsidRPr="00BE6B5A">
        <w:rPr>
          <w:iCs/>
        </w:rPr>
        <w:t xml:space="preserve"> </w:t>
      </w:r>
      <w:proofErr w:type="spellStart"/>
      <w:r w:rsidRPr="00BE6B5A">
        <w:rPr>
          <w:iCs/>
        </w:rPr>
        <w:t>Käänab</w:t>
      </w:r>
      <w:proofErr w:type="spellEnd"/>
      <w:r w:rsidRPr="00BE6B5A">
        <w:rPr>
          <w:iCs/>
        </w:rPr>
        <w:t xml:space="preserve"> - </w:t>
      </w:r>
      <w:r w:rsidRPr="00BE6B5A">
        <w:rPr>
          <w:i/>
          <w:iCs/>
        </w:rPr>
        <w:t>The Winding Path” - Estonian Literature</w:t>
      </w:r>
      <w:r w:rsidRPr="00BE6B5A">
        <w:t>. Estonian Literature Center. 2016.</w:t>
      </w:r>
    </w:p>
    <w:p w14:paraId="315D112D" w14:textId="77777777" w:rsidR="001E3AAB" w:rsidRDefault="001E3AAB" w:rsidP="001E3AAB">
      <w:pPr>
        <w:spacing w:line="480" w:lineRule="auto"/>
        <w:ind w:left="720" w:hanging="720"/>
        <w:contextualSpacing/>
      </w:pPr>
      <w:proofErr w:type="spellStart"/>
      <w:r w:rsidRPr="00BE6B5A">
        <w:t>Puhvel</w:t>
      </w:r>
      <w:proofErr w:type="spellEnd"/>
      <w:r w:rsidRPr="00BE6B5A">
        <w:t xml:space="preserve">, Martin. “Songs of Creation among the Fenno-Ugrians around the Baltic.” </w:t>
      </w:r>
      <w:r w:rsidRPr="00BE6B5A">
        <w:rPr>
          <w:i/>
          <w:iCs/>
        </w:rPr>
        <w:t>Folklore</w:t>
      </w:r>
      <w:r w:rsidRPr="00BE6B5A">
        <w:t>, vol. 82, no. 1, 1971, pp. 1–24.</w:t>
      </w:r>
      <w:r>
        <w:t xml:space="preserve"> </w:t>
      </w:r>
    </w:p>
    <w:p w14:paraId="7197288F" w14:textId="4EFBF0D5" w:rsidR="001E3AAB" w:rsidRDefault="001E3AAB" w:rsidP="001E3AAB">
      <w:pPr>
        <w:spacing w:line="480" w:lineRule="auto"/>
        <w:ind w:left="720" w:hanging="720"/>
        <w:contextualSpacing/>
      </w:pPr>
      <w:r w:rsidRPr="00BE6B5A">
        <w:t xml:space="preserve">Stonham, John T. </w:t>
      </w:r>
      <w:r w:rsidRPr="00BE6B5A">
        <w:rPr>
          <w:i/>
          <w:iCs/>
        </w:rPr>
        <w:t>Combinatorial Morphology</w:t>
      </w:r>
      <w:r w:rsidRPr="00BE6B5A">
        <w:t xml:space="preserve">. John Benjamins Publishing, 1994. </w:t>
      </w:r>
    </w:p>
    <w:p w14:paraId="165C9D9F" w14:textId="0C041A0D" w:rsidR="001E3AAB" w:rsidRPr="00BE6B5A" w:rsidRDefault="001E3AAB" w:rsidP="00067583">
      <w:pPr>
        <w:spacing w:line="480" w:lineRule="auto"/>
        <w:ind w:left="720" w:hanging="720"/>
        <w:contextualSpacing/>
      </w:pPr>
      <w:proofErr w:type="spellStart"/>
      <w:r w:rsidRPr="00BE6B5A">
        <w:t>Thieberger</w:t>
      </w:r>
      <w:proofErr w:type="spellEnd"/>
      <w:r w:rsidRPr="00BE6B5A">
        <w:t xml:space="preserve">, Nick. </w:t>
      </w:r>
      <w:r w:rsidRPr="00BE6B5A">
        <w:rPr>
          <w:i/>
          <w:iCs/>
        </w:rPr>
        <w:t>The Oxford Handbook of Linguistic Fieldwork</w:t>
      </w:r>
      <w:r w:rsidRPr="00BE6B5A">
        <w:t>. Oxford University Press, 2014.</w:t>
      </w:r>
    </w:p>
    <w:sectPr w:rsidR="001E3AAB" w:rsidRPr="00BE6B5A" w:rsidSect="00891186">
      <w:headerReference w:type="even" r:id="rId8"/>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87A4CA" w14:textId="77777777" w:rsidR="00855B26" w:rsidRDefault="00855B26" w:rsidP="00BC1C6C">
      <w:r>
        <w:separator/>
      </w:r>
    </w:p>
  </w:endnote>
  <w:endnote w:type="continuationSeparator" w:id="0">
    <w:p w14:paraId="1CE8FFB8" w14:textId="77777777" w:rsidR="00855B26" w:rsidRDefault="00855B26" w:rsidP="00BC1C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Doulos SIL">
    <w:panose1 w:val="020B0604020202020204"/>
    <w:charset w:val="4D"/>
    <w:family w:val="auto"/>
    <w:pitch w:val="variable"/>
    <w:sig w:usb0="A00002FF" w:usb1="5200A1FF" w:usb2="02000009" w:usb3="00000000" w:csb0="00000197"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FC5641" w14:textId="77777777" w:rsidR="00855B26" w:rsidRDefault="00855B26" w:rsidP="00BC1C6C">
      <w:r>
        <w:separator/>
      </w:r>
    </w:p>
  </w:footnote>
  <w:footnote w:type="continuationSeparator" w:id="0">
    <w:p w14:paraId="019494C3" w14:textId="77777777" w:rsidR="00855B26" w:rsidRDefault="00855B26" w:rsidP="00BC1C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2906906"/>
      <w:docPartObj>
        <w:docPartGallery w:val="Page Numbers (Top of Page)"/>
        <w:docPartUnique/>
      </w:docPartObj>
    </w:sdtPr>
    <w:sdtEndPr>
      <w:rPr>
        <w:rStyle w:val="PageNumber"/>
      </w:rPr>
    </w:sdtEndPr>
    <w:sdtContent>
      <w:p w14:paraId="562B3BF4" w14:textId="6B0401B2" w:rsidR="00BC1C6C" w:rsidRDefault="00BC1C6C" w:rsidP="00726A9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D33E0E3" w14:textId="77777777" w:rsidR="00BC1C6C" w:rsidRDefault="00BC1C6C" w:rsidP="00BC1C6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77672919"/>
      <w:docPartObj>
        <w:docPartGallery w:val="Page Numbers (Top of Page)"/>
        <w:docPartUnique/>
      </w:docPartObj>
    </w:sdtPr>
    <w:sdtEndPr>
      <w:rPr>
        <w:rStyle w:val="PageNumber"/>
      </w:rPr>
    </w:sdtEndPr>
    <w:sdtContent>
      <w:p w14:paraId="59401913" w14:textId="1F7FC525" w:rsidR="00BC1C6C" w:rsidRDefault="00BC1C6C" w:rsidP="00726A9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F35CE25" w14:textId="75AA47E9" w:rsidR="00BC1C6C" w:rsidRDefault="00BC1C6C" w:rsidP="00BC1C6C">
    <w:pPr>
      <w:pStyle w:val="Header"/>
      <w:ind w:right="360"/>
    </w:pPr>
    <w:r>
      <w:ptab w:relativeTo="margin" w:alignment="center" w:leader="none"/>
    </w:r>
    <w:r>
      <w:ptab w:relativeTo="margin" w:alignment="right" w:leader="none"/>
    </w:r>
    <w:r>
      <w:t xml:space="preserve">Purcell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AF298B"/>
    <w:multiLevelType w:val="hybridMultilevel"/>
    <w:tmpl w:val="7A9AF1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C6C"/>
    <w:rsid w:val="00023B96"/>
    <w:rsid w:val="000608A4"/>
    <w:rsid w:val="00067583"/>
    <w:rsid w:val="000761F5"/>
    <w:rsid w:val="000A52F5"/>
    <w:rsid w:val="001116F0"/>
    <w:rsid w:val="00111921"/>
    <w:rsid w:val="001C6733"/>
    <w:rsid w:val="001E3AAB"/>
    <w:rsid w:val="00217695"/>
    <w:rsid w:val="00241E4D"/>
    <w:rsid w:val="002825E2"/>
    <w:rsid w:val="003401FE"/>
    <w:rsid w:val="003B5D2C"/>
    <w:rsid w:val="004335B7"/>
    <w:rsid w:val="00563F63"/>
    <w:rsid w:val="005C4803"/>
    <w:rsid w:val="007E6240"/>
    <w:rsid w:val="00855B26"/>
    <w:rsid w:val="00863E9C"/>
    <w:rsid w:val="00891186"/>
    <w:rsid w:val="009851F2"/>
    <w:rsid w:val="009B5BF6"/>
    <w:rsid w:val="00AB0FCE"/>
    <w:rsid w:val="00AF7E20"/>
    <w:rsid w:val="00B00F7B"/>
    <w:rsid w:val="00B04E43"/>
    <w:rsid w:val="00BC1C6C"/>
    <w:rsid w:val="00BE4528"/>
    <w:rsid w:val="00BE6B5A"/>
    <w:rsid w:val="00C20E73"/>
    <w:rsid w:val="00C35CE9"/>
    <w:rsid w:val="00C6675A"/>
    <w:rsid w:val="00D93AFF"/>
    <w:rsid w:val="00ED498F"/>
    <w:rsid w:val="00F767BB"/>
    <w:rsid w:val="00FC30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E9391"/>
  <w15:chartTrackingRefBased/>
  <w15:docId w15:val="{52EE16EA-1762-0742-9040-3A9A13BC0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Doulos SIL" w:eastAsiaTheme="minorHAnsi" w:hAnsi="Doulos SIL" w:cs="Doulos SIL"/>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4E4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1C6C"/>
    <w:pPr>
      <w:tabs>
        <w:tab w:val="center" w:pos="4680"/>
        <w:tab w:val="right" w:pos="9360"/>
      </w:tabs>
    </w:pPr>
  </w:style>
  <w:style w:type="character" w:customStyle="1" w:styleId="HeaderChar">
    <w:name w:val="Header Char"/>
    <w:basedOn w:val="DefaultParagraphFont"/>
    <w:link w:val="Header"/>
    <w:uiPriority w:val="99"/>
    <w:rsid w:val="00BC1C6C"/>
  </w:style>
  <w:style w:type="paragraph" w:styleId="Footer">
    <w:name w:val="footer"/>
    <w:basedOn w:val="Normal"/>
    <w:link w:val="FooterChar"/>
    <w:uiPriority w:val="99"/>
    <w:unhideWhenUsed/>
    <w:rsid w:val="00BC1C6C"/>
    <w:pPr>
      <w:tabs>
        <w:tab w:val="center" w:pos="4680"/>
        <w:tab w:val="right" w:pos="9360"/>
      </w:tabs>
    </w:pPr>
  </w:style>
  <w:style w:type="character" w:customStyle="1" w:styleId="FooterChar">
    <w:name w:val="Footer Char"/>
    <w:basedOn w:val="DefaultParagraphFont"/>
    <w:link w:val="Footer"/>
    <w:uiPriority w:val="99"/>
    <w:rsid w:val="00BC1C6C"/>
  </w:style>
  <w:style w:type="character" w:styleId="PageNumber">
    <w:name w:val="page number"/>
    <w:basedOn w:val="DefaultParagraphFont"/>
    <w:uiPriority w:val="99"/>
    <w:semiHidden/>
    <w:unhideWhenUsed/>
    <w:rsid w:val="00BC1C6C"/>
  </w:style>
  <w:style w:type="paragraph" w:styleId="FootnoteText">
    <w:name w:val="footnote text"/>
    <w:basedOn w:val="Normal"/>
    <w:link w:val="FootnoteTextChar"/>
    <w:uiPriority w:val="99"/>
    <w:semiHidden/>
    <w:unhideWhenUsed/>
    <w:rsid w:val="00BE6B5A"/>
    <w:rPr>
      <w:sz w:val="20"/>
      <w:szCs w:val="20"/>
    </w:rPr>
  </w:style>
  <w:style w:type="character" w:customStyle="1" w:styleId="FootnoteTextChar">
    <w:name w:val="Footnote Text Char"/>
    <w:basedOn w:val="DefaultParagraphFont"/>
    <w:link w:val="FootnoteText"/>
    <w:uiPriority w:val="99"/>
    <w:semiHidden/>
    <w:rsid w:val="00BE6B5A"/>
    <w:rPr>
      <w:sz w:val="20"/>
      <w:szCs w:val="20"/>
    </w:rPr>
  </w:style>
  <w:style w:type="character" w:styleId="FootnoteReference">
    <w:name w:val="footnote reference"/>
    <w:basedOn w:val="DefaultParagraphFont"/>
    <w:uiPriority w:val="99"/>
    <w:semiHidden/>
    <w:unhideWhenUsed/>
    <w:rsid w:val="00BE6B5A"/>
    <w:rPr>
      <w:vertAlign w:val="superscript"/>
    </w:rPr>
  </w:style>
  <w:style w:type="character" w:styleId="Hyperlink">
    <w:name w:val="Hyperlink"/>
    <w:basedOn w:val="DefaultParagraphFont"/>
    <w:uiPriority w:val="99"/>
    <w:semiHidden/>
    <w:unhideWhenUsed/>
    <w:rsid w:val="00BE6B5A"/>
    <w:rPr>
      <w:color w:val="0000FF"/>
      <w:u w:val="single"/>
    </w:rPr>
  </w:style>
  <w:style w:type="paragraph" w:styleId="ListParagraph">
    <w:name w:val="List Paragraph"/>
    <w:basedOn w:val="Normal"/>
    <w:uiPriority w:val="34"/>
    <w:qFormat/>
    <w:rsid w:val="00B04E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9629011">
      <w:bodyDiv w:val="1"/>
      <w:marLeft w:val="0"/>
      <w:marRight w:val="0"/>
      <w:marTop w:val="0"/>
      <w:marBottom w:val="0"/>
      <w:divBdr>
        <w:top w:val="none" w:sz="0" w:space="0" w:color="auto"/>
        <w:left w:val="none" w:sz="0" w:space="0" w:color="auto"/>
        <w:bottom w:val="none" w:sz="0" w:space="0" w:color="auto"/>
        <w:right w:val="none" w:sz="0" w:space="0" w:color="auto"/>
      </w:divBdr>
    </w:div>
    <w:div w:id="860318383">
      <w:bodyDiv w:val="1"/>
      <w:marLeft w:val="0"/>
      <w:marRight w:val="0"/>
      <w:marTop w:val="0"/>
      <w:marBottom w:val="0"/>
      <w:divBdr>
        <w:top w:val="none" w:sz="0" w:space="0" w:color="auto"/>
        <w:left w:val="none" w:sz="0" w:space="0" w:color="auto"/>
        <w:bottom w:val="none" w:sz="0" w:space="0" w:color="auto"/>
        <w:right w:val="none" w:sz="0" w:space="0" w:color="auto"/>
      </w:divBdr>
    </w:div>
    <w:div w:id="866672506">
      <w:bodyDiv w:val="1"/>
      <w:marLeft w:val="0"/>
      <w:marRight w:val="0"/>
      <w:marTop w:val="0"/>
      <w:marBottom w:val="0"/>
      <w:divBdr>
        <w:top w:val="none" w:sz="0" w:space="0" w:color="auto"/>
        <w:left w:val="none" w:sz="0" w:space="0" w:color="auto"/>
        <w:bottom w:val="none" w:sz="0" w:space="0" w:color="auto"/>
        <w:right w:val="none" w:sz="0" w:space="0" w:color="auto"/>
      </w:divBdr>
    </w:div>
    <w:div w:id="1516574676">
      <w:bodyDiv w:val="1"/>
      <w:marLeft w:val="0"/>
      <w:marRight w:val="0"/>
      <w:marTop w:val="0"/>
      <w:marBottom w:val="0"/>
      <w:divBdr>
        <w:top w:val="none" w:sz="0" w:space="0" w:color="auto"/>
        <w:left w:val="none" w:sz="0" w:space="0" w:color="auto"/>
        <w:bottom w:val="none" w:sz="0" w:space="0" w:color="auto"/>
        <w:right w:val="none" w:sz="0" w:space="0" w:color="auto"/>
      </w:divBdr>
    </w:div>
    <w:div w:id="1579289539">
      <w:bodyDiv w:val="1"/>
      <w:marLeft w:val="0"/>
      <w:marRight w:val="0"/>
      <w:marTop w:val="0"/>
      <w:marBottom w:val="0"/>
      <w:divBdr>
        <w:top w:val="none" w:sz="0" w:space="0" w:color="auto"/>
        <w:left w:val="none" w:sz="0" w:space="0" w:color="auto"/>
        <w:bottom w:val="none" w:sz="0" w:space="0" w:color="auto"/>
        <w:right w:val="none" w:sz="0" w:space="0" w:color="auto"/>
      </w:divBdr>
    </w:div>
    <w:div w:id="1586064086">
      <w:bodyDiv w:val="1"/>
      <w:marLeft w:val="0"/>
      <w:marRight w:val="0"/>
      <w:marTop w:val="0"/>
      <w:marBottom w:val="0"/>
      <w:divBdr>
        <w:top w:val="none" w:sz="0" w:space="0" w:color="auto"/>
        <w:left w:val="none" w:sz="0" w:space="0" w:color="auto"/>
        <w:bottom w:val="none" w:sz="0" w:space="0" w:color="auto"/>
        <w:right w:val="none" w:sz="0" w:space="0" w:color="auto"/>
      </w:divBdr>
      <w:divsChild>
        <w:div w:id="1280144695">
          <w:marLeft w:val="480"/>
          <w:marRight w:val="0"/>
          <w:marTop w:val="0"/>
          <w:marBottom w:val="0"/>
          <w:divBdr>
            <w:top w:val="none" w:sz="0" w:space="0" w:color="auto"/>
            <w:left w:val="none" w:sz="0" w:space="0" w:color="auto"/>
            <w:bottom w:val="none" w:sz="0" w:space="0" w:color="auto"/>
            <w:right w:val="none" w:sz="0" w:space="0" w:color="auto"/>
          </w:divBdr>
          <w:divsChild>
            <w:div w:id="804355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078902">
      <w:bodyDiv w:val="1"/>
      <w:marLeft w:val="0"/>
      <w:marRight w:val="0"/>
      <w:marTop w:val="0"/>
      <w:marBottom w:val="0"/>
      <w:divBdr>
        <w:top w:val="none" w:sz="0" w:space="0" w:color="auto"/>
        <w:left w:val="none" w:sz="0" w:space="0" w:color="auto"/>
        <w:bottom w:val="none" w:sz="0" w:space="0" w:color="auto"/>
        <w:right w:val="none" w:sz="0" w:space="0" w:color="auto"/>
      </w:divBdr>
      <w:divsChild>
        <w:div w:id="379403742">
          <w:marLeft w:val="480"/>
          <w:marRight w:val="0"/>
          <w:marTop w:val="0"/>
          <w:marBottom w:val="0"/>
          <w:divBdr>
            <w:top w:val="none" w:sz="0" w:space="0" w:color="auto"/>
            <w:left w:val="none" w:sz="0" w:space="0" w:color="auto"/>
            <w:bottom w:val="none" w:sz="0" w:space="0" w:color="auto"/>
            <w:right w:val="none" w:sz="0" w:space="0" w:color="auto"/>
          </w:divBdr>
          <w:divsChild>
            <w:div w:id="1123496704">
              <w:marLeft w:val="0"/>
              <w:marRight w:val="0"/>
              <w:marTop w:val="0"/>
              <w:marBottom w:val="0"/>
              <w:divBdr>
                <w:top w:val="none" w:sz="0" w:space="0" w:color="auto"/>
                <w:left w:val="none" w:sz="0" w:space="0" w:color="auto"/>
                <w:bottom w:val="none" w:sz="0" w:space="0" w:color="auto"/>
                <w:right w:val="none" w:sz="0" w:space="0" w:color="auto"/>
              </w:divBdr>
            </w:div>
            <w:div w:id="74796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130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jstor.org/stable/j.ctv9hj9pb.1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443</TotalTime>
  <Pages>8</Pages>
  <Words>1915</Words>
  <Characters>10917</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9</cp:revision>
  <dcterms:created xsi:type="dcterms:W3CDTF">2019-03-26T18:55:00Z</dcterms:created>
  <dcterms:modified xsi:type="dcterms:W3CDTF">2019-04-04T23:59:00Z</dcterms:modified>
</cp:coreProperties>
</file>