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Pr="00FC000F" w:rsidRDefault="00BC1C6C" w:rsidP="00FC000F">
      <w:pPr>
        <w:tabs>
          <w:tab w:val="right" w:pos="9360"/>
        </w:tabs>
        <w:spacing w:line="480" w:lineRule="auto"/>
        <w:contextualSpacing/>
      </w:pPr>
      <w:r w:rsidRPr="00FC000F">
        <w:t>Jared V Purcell</w:t>
      </w:r>
      <w:r w:rsidRPr="00FC000F">
        <w:tab/>
      </w:r>
    </w:p>
    <w:p w14:paraId="39B58AA0" w14:textId="799A1DCB" w:rsidR="00BC1C6C" w:rsidRPr="00FC000F" w:rsidRDefault="00BC1C6C" w:rsidP="00FC000F">
      <w:pPr>
        <w:spacing w:line="480" w:lineRule="auto"/>
        <w:contextualSpacing/>
      </w:pPr>
      <w:r w:rsidRPr="00FC000F">
        <w:t xml:space="preserve">Professor </w:t>
      </w:r>
      <w:r w:rsidR="00F767BB" w:rsidRPr="00FC000F">
        <w:t xml:space="preserve">R. </w:t>
      </w:r>
      <w:r w:rsidRPr="00FC000F">
        <w:t>Nanian</w:t>
      </w:r>
    </w:p>
    <w:p w14:paraId="0C7E302D" w14:textId="0A9EE1CA" w:rsidR="00BC1C6C" w:rsidRPr="00FC000F" w:rsidRDefault="00BC1C6C" w:rsidP="00FC000F">
      <w:pPr>
        <w:spacing w:line="480" w:lineRule="auto"/>
        <w:contextualSpacing/>
      </w:pPr>
      <w:r w:rsidRPr="00FC000F">
        <w:t>ENGH 302-H29</w:t>
      </w:r>
    </w:p>
    <w:p w14:paraId="1439E0EA" w14:textId="70294F23" w:rsidR="00EF330E" w:rsidRPr="00FC000F" w:rsidRDefault="00EF330E" w:rsidP="00FC000F">
      <w:pPr>
        <w:spacing w:line="480" w:lineRule="auto"/>
        <w:contextualSpacing/>
      </w:pPr>
      <w:r w:rsidRPr="00FC000F">
        <w:t>February 26, 2019</w:t>
      </w:r>
    </w:p>
    <w:p w14:paraId="7BCDF330" w14:textId="0181D540" w:rsidR="00EF330E" w:rsidRDefault="006106D5" w:rsidP="00FC000F">
      <w:pPr>
        <w:spacing w:line="480" w:lineRule="auto"/>
        <w:contextualSpacing/>
        <w:jc w:val="center"/>
      </w:pPr>
      <w:r w:rsidRPr="006106D5">
        <w:t xml:space="preserve">Exercise: Working with a </w:t>
      </w:r>
      <w:bookmarkStart w:id="0" w:name="_GoBack"/>
      <w:bookmarkEnd w:id="0"/>
      <w:r w:rsidRPr="006106D5">
        <w:t>Quotation</w:t>
      </w:r>
    </w:p>
    <w:p w14:paraId="6CDEB1F1" w14:textId="5A49417B" w:rsidR="006106D5" w:rsidRPr="006106D5" w:rsidRDefault="006106D5" w:rsidP="006106D5">
      <w:pPr>
        <w:spacing w:line="480" w:lineRule="auto"/>
        <w:contextualSpacing/>
      </w:pPr>
      <w:r>
        <w:tab/>
        <w:t>For a scheduled research project</w:t>
      </w:r>
      <w:r w:rsidR="00211240">
        <w:t xml:space="preserve"> on language documentation</w:t>
      </w:r>
      <w:r>
        <w:t xml:space="preserve">, I extracted the </w:t>
      </w:r>
      <w:r w:rsidR="00316F86">
        <w:t>cited</w:t>
      </w:r>
      <w:r>
        <w:t xml:space="preserve"> excerpt to prepare the construct of expected discourse. </w:t>
      </w:r>
      <w:r w:rsidR="00211240">
        <w:t xml:space="preserve">The block quote is split into three full-stops to explain its usage in relevance to my topic. The initial quote will be taken from the first segment from which I will </w:t>
      </w:r>
      <w:r w:rsidR="00B47135">
        <w:t>(</w:t>
      </w:r>
      <w:r w:rsidR="00211240">
        <w:t>extend</w:t>
      </w:r>
      <w:r w:rsidR="00B47135">
        <w:t>)</w:t>
      </w:r>
      <w:r w:rsidR="00211240">
        <w:t xml:space="preserve"> an example using data of comparative subsets of morphosyntactic </w:t>
      </w:r>
      <w:r w:rsidR="00297457">
        <w:t>nominal declensions</w:t>
      </w:r>
      <w:r w:rsidR="00211240">
        <w:t xml:space="preserve"> in Russian and Finnish</w:t>
      </w:r>
      <w:r w:rsidR="00FA3D58">
        <w:rPr>
          <w:rStyle w:val="FootnoteReference"/>
        </w:rPr>
        <w:footnoteReference w:id="1"/>
      </w:r>
      <w:r w:rsidR="00211240">
        <w:t xml:space="preserve">, for the sake of familiar convenience. </w:t>
      </w:r>
      <w:r w:rsidR="00B47135">
        <w:t>I plan to (apply) this article for the importance of methodology and subjectivity in language documentation as the</w:t>
      </w:r>
      <w:r w:rsidR="006742B0">
        <w:t xml:space="preserve"> second and third clauses used in this quote. Bird and Simons acknowledged </w:t>
      </w:r>
      <w:r w:rsidR="008D0EEC">
        <w:t xml:space="preserve">the ambiguity that occurs in the role of language description and logging, something I have noted in my own personal research of these languages. The authors and I both </w:t>
      </w:r>
      <w:r w:rsidR="008D0EEC">
        <w:lastRenderedPageBreak/>
        <w:t>agree that there is a lack of uniformity in philological study in addition to meta-descriptive ambiguit</w:t>
      </w:r>
      <w:r w:rsidR="00FA3D58">
        <w:t>y</w:t>
      </w:r>
      <w:r w:rsidR="008D0EEC">
        <w:t xml:space="preserve">. </w:t>
      </w:r>
      <w:r w:rsidR="006272BE">
        <w:t>Word Count 14</w:t>
      </w:r>
      <w:r w:rsidR="00FA3D58">
        <w:t>9</w:t>
      </w:r>
    </w:p>
    <w:p w14:paraId="4F6C04F8" w14:textId="52D0FDDB" w:rsidR="00EF330E" w:rsidRPr="00EF330E" w:rsidRDefault="00EF330E" w:rsidP="00211240">
      <w:pPr>
        <w:spacing w:line="480" w:lineRule="auto"/>
        <w:ind w:firstLine="720"/>
        <w:contextualSpacing/>
        <w:rPr>
          <w:rFonts w:eastAsia="Times New Roman"/>
        </w:rPr>
      </w:pPr>
      <w:r w:rsidRPr="00FC000F">
        <w:rPr>
          <w:rFonts w:eastAsia="Times New Roman"/>
        </w:rPr>
        <w:t>“</w:t>
      </w:r>
      <w:r w:rsidRPr="00EF330E">
        <w:rPr>
          <w:rFonts w:eastAsia="Times New Roman"/>
          <w:u w:val="single"/>
        </w:rPr>
        <w:t>Language documentation and description of all types depend critically on technical notation and vocabulary, and ambiguous or unknown terms compromise portability</w:t>
      </w:r>
      <w:r w:rsidRPr="00EF330E">
        <w:rPr>
          <w:rFonts w:eastAsia="Times New Roman"/>
        </w:rPr>
        <w:t>.</w:t>
      </w:r>
      <w:r w:rsidR="006106D5">
        <w:rPr>
          <w:rFonts w:eastAsia="Times New Roman"/>
        </w:rPr>
        <w:t xml:space="preserve"> </w:t>
      </w:r>
      <w:r w:rsidRPr="00EF330E">
        <w:rPr>
          <w:rFonts w:eastAsia="Times New Roman"/>
        </w:rPr>
        <w:t xml:space="preserve">For instance, the symbols used in phonetic transcription have variable interpretation depending on the descriptive tradition: </w:t>
      </w:r>
      <w:r w:rsidR="008D0EEC">
        <w:rPr>
          <w:rFonts w:eastAsia="Times New Roman"/>
        </w:rPr>
        <w:t>‘</w:t>
      </w:r>
      <w:r w:rsidRPr="00EF330E">
        <w:rPr>
          <w:rFonts w:eastAsia="Times New Roman"/>
        </w:rPr>
        <w:t>it is crucial to be aware of the background of the writer when interpreting an unexplained occurrence of [y]</w:t>
      </w:r>
      <w:r w:rsidR="008D0EEC">
        <w:rPr>
          <w:rFonts w:eastAsia="Times New Roman"/>
        </w:rPr>
        <w:t>’</w:t>
      </w:r>
      <w:r w:rsidRPr="00EF330E">
        <w:rPr>
          <w:rFonts w:eastAsia="Times New Roman"/>
        </w:rPr>
        <w:t xml:space="preserve"> </w:t>
      </w:r>
      <w:r w:rsidR="008D0EEC">
        <w:rPr>
          <w:rFonts w:eastAsia="Times New Roman"/>
        </w:rPr>
        <w:t>[</w:t>
      </w:r>
      <w:r w:rsidRPr="00EF330E">
        <w:rPr>
          <w:rFonts w:eastAsia="Times New Roman"/>
        </w:rPr>
        <w:t xml:space="preserve">Pullum &amp; </w:t>
      </w:r>
      <w:proofErr w:type="spellStart"/>
      <w:r w:rsidRPr="00EF330E">
        <w:rPr>
          <w:rFonts w:eastAsia="Times New Roman"/>
        </w:rPr>
        <w:t>Ladusaw</w:t>
      </w:r>
      <w:proofErr w:type="spellEnd"/>
      <w:r w:rsidRPr="00EF330E">
        <w:rPr>
          <w:rFonts w:eastAsia="Times New Roman"/>
        </w:rPr>
        <w:t xml:space="preserve"> 1986:168</w:t>
      </w:r>
      <w:r w:rsidR="008D0EEC">
        <w:rPr>
          <w:rFonts w:eastAsia="Times New Roman"/>
        </w:rPr>
        <w:t>]</w:t>
      </w:r>
      <w:r w:rsidRPr="00EF330E">
        <w:rPr>
          <w:rFonts w:eastAsia="Times New Roman"/>
        </w:rPr>
        <w:t xml:space="preserve">. In morphosyntax, the term </w:t>
      </w:r>
      <w:r w:rsidR="008D0EEC">
        <w:rPr>
          <w:rFonts w:eastAsia="Times New Roman"/>
        </w:rPr>
        <w:t>‘</w:t>
      </w:r>
      <w:r w:rsidRPr="00EF330E">
        <w:rPr>
          <w:rFonts w:eastAsia="Times New Roman"/>
        </w:rPr>
        <w:t>absolutive</w:t>
      </w:r>
      <w:r w:rsidR="008D0EEC">
        <w:rPr>
          <w:rFonts w:eastAsia="Times New Roman"/>
        </w:rPr>
        <w:t>’</w:t>
      </w:r>
      <w:r w:rsidRPr="00EF330E">
        <w:rPr>
          <w:rFonts w:eastAsia="Times New Roman"/>
        </w:rPr>
        <w:t xml:space="preserve"> can refer to one of the cases in an ergative language, or to the unpossessed form of a noun as in the Uto-Aztecan tradition </w:t>
      </w:r>
      <w:r w:rsidR="008D0EEC">
        <w:rPr>
          <w:rFonts w:eastAsia="Times New Roman"/>
        </w:rPr>
        <w:t>[</w:t>
      </w:r>
      <w:r w:rsidRPr="00EF330E">
        <w:rPr>
          <w:rFonts w:eastAsia="Times New Roman"/>
        </w:rPr>
        <w:t>Lewis et al. 2001:151</w:t>
      </w:r>
      <w:r w:rsidR="008D0EEC">
        <w:rPr>
          <w:rFonts w:eastAsia="Times New Roman"/>
        </w:rPr>
        <w:t>]</w:t>
      </w:r>
      <w:r w:rsidRPr="00EF330E">
        <w:rPr>
          <w:rFonts w:eastAsia="Times New Roman"/>
        </w:rPr>
        <w:t>, and a correct interpretation of the term depends on an under- standing of the linguistic context</w:t>
      </w:r>
      <w:r w:rsidR="008D0EEC">
        <w:rPr>
          <w:rFonts w:eastAsia="Times New Roman"/>
        </w:rPr>
        <w:t>” (Bird &amp; Simons, 2003</w:t>
      </w:r>
      <w:r w:rsidR="00316F86">
        <w:rPr>
          <w:rFonts w:eastAsia="Times New Roman"/>
        </w:rPr>
        <w:t>: 563</w:t>
      </w:r>
      <w:r w:rsidR="008D0EEC">
        <w:rPr>
          <w:rFonts w:eastAsia="Times New Roman"/>
        </w:rPr>
        <w:t>).</w:t>
      </w:r>
      <w:r w:rsidR="006272BE">
        <w:rPr>
          <w:rFonts w:eastAsia="Times New Roman"/>
        </w:rPr>
        <w:t xml:space="preserve"> Word Count 99</w:t>
      </w:r>
    </w:p>
    <w:p w14:paraId="17158324" w14:textId="2A4DE07E" w:rsidR="00BC1C6C" w:rsidRDefault="008D0EEC" w:rsidP="008D0EEC">
      <w:pPr>
        <w:spacing w:line="480" w:lineRule="auto"/>
        <w:ind w:firstLine="720"/>
        <w:contextualSpacing/>
        <w:jc w:val="center"/>
      </w:pPr>
      <w:r>
        <w:t>Works Cited</w:t>
      </w:r>
    </w:p>
    <w:p w14:paraId="3E76C402" w14:textId="6EF52656" w:rsidR="008D0EEC" w:rsidRPr="008D0EEC" w:rsidRDefault="008D0EEC" w:rsidP="008D0EEC">
      <w:pPr>
        <w:spacing w:line="480" w:lineRule="auto"/>
        <w:ind w:hanging="480"/>
        <w:rPr>
          <w:rFonts w:ascii="Times New Roman" w:eastAsia="Times New Roman" w:hAnsi="Times New Roman" w:cs="Times New Roman"/>
        </w:rPr>
      </w:pPr>
      <w:r w:rsidRPr="008D0EEC">
        <w:rPr>
          <w:rFonts w:ascii="Times New Roman" w:eastAsia="Times New Roman" w:hAnsi="Times New Roman" w:cs="Times New Roman"/>
        </w:rPr>
        <w:t>Bird, S</w:t>
      </w:r>
      <w:r>
        <w:rPr>
          <w:rFonts w:ascii="Times New Roman" w:eastAsia="Times New Roman" w:hAnsi="Times New Roman" w:cs="Times New Roman"/>
        </w:rPr>
        <w:t>.</w:t>
      </w:r>
      <w:r w:rsidRPr="008D0EEC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&amp;</w:t>
      </w:r>
      <w:r w:rsidRPr="008D0EEC">
        <w:rPr>
          <w:rFonts w:ascii="Times New Roman" w:eastAsia="Times New Roman" w:hAnsi="Times New Roman" w:cs="Times New Roman"/>
        </w:rPr>
        <w:t xml:space="preserve"> Simons</w:t>
      </w:r>
      <w:r>
        <w:rPr>
          <w:rFonts w:ascii="Times New Roman" w:eastAsia="Times New Roman" w:hAnsi="Times New Roman" w:cs="Times New Roman"/>
        </w:rPr>
        <w:t xml:space="preserve"> G</w:t>
      </w:r>
      <w:r w:rsidR="0029580D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2003</w:t>
      </w:r>
      <w:r w:rsidRPr="008D0EEC">
        <w:rPr>
          <w:rFonts w:ascii="Times New Roman" w:eastAsia="Times New Roman" w:hAnsi="Times New Roman" w:cs="Times New Roman"/>
        </w:rPr>
        <w:t xml:space="preserve">. Seven Dimensions of Portability for Language Documentation and Description. </w:t>
      </w:r>
      <w:r w:rsidRPr="008D0EEC">
        <w:rPr>
          <w:rFonts w:ascii="Times New Roman" w:eastAsia="Times New Roman" w:hAnsi="Times New Roman" w:cs="Times New Roman"/>
          <w:i/>
          <w:iCs/>
        </w:rPr>
        <w:t>Language</w:t>
      </w:r>
      <w:r w:rsidRPr="008D0EEC">
        <w:rPr>
          <w:rFonts w:ascii="Times New Roman" w:eastAsia="Times New Roman" w:hAnsi="Times New Roman" w:cs="Times New Roman"/>
        </w:rPr>
        <w:t>, vol. 79, no. 3, pp. 557–82</w:t>
      </w:r>
      <w:r w:rsidR="00316F86">
        <w:rPr>
          <w:rFonts w:ascii="Times New Roman" w:eastAsia="Times New Roman" w:hAnsi="Times New Roman" w:cs="Times New Roman"/>
        </w:rPr>
        <w:t>(563)</w:t>
      </w:r>
    </w:p>
    <w:p w14:paraId="08AA1B2B" w14:textId="77777777" w:rsidR="008D0EEC" w:rsidRPr="00FC000F" w:rsidRDefault="008D0EEC" w:rsidP="008D0EEC">
      <w:pPr>
        <w:spacing w:line="480" w:lineRule="auto"/>
        <w:contextualSpacing/>
      </w:pPr>
    </w:p>
    <w:sectPr w:rsidR="008D0EEC" w:rsidRPr="00FC000F" w:rsidSect="00891186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5B2EA" w14:textId="77777777" w:rsidR="001238B2" w:rsidRDefault="001238B2" w:rsidP="00BC1C6C">
      <w:r>
        <w:separator/>
      </w:r>
    </w:p>
  </w:endnote>
  <w:endnote w:type="continuationSeparator" w:id="0">
    <w:p w14:paraId="11112A15" w14:textId="77777777" w:rsidR="001238B2" w:rsidRDefault="001238B2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DC9B00" w14:textId="77777777" w:rsidR="001238B2" w:rsidRDefault="001238B2" w:rsidP="00BC1C6C">
      <w:r>
        <w:separator/>
      </w:r>
    </w:p>
  </w:footnote>
  <w:footnote w:type="continuationSeparator" w:id="0">
    <w:p w14:paraId="366A06F9" w14:textId="77777777" w:rsidR="001238B2" w:rsidRDefault="001238B2" w:rsidP="00BC1C6C">
      <w:r>
        <w:continuationSeparator/>
      </w:r>
    </w:p>
  </w:footnote>
  <w:footnote w:id="1">
    <w:p w14:paraId="3E85E81F" w14:textId="5F9A79D8" w:rsidR="00FA3D58" w:rsidRDefault="00FA3D58">
      <w:pPr>
        <w:pStyle w:val="FootnoteText"/>
      </w:pPr>
      <w:r>
        <w:rPr>
          <w:rStyle w:val="FootnoteReference"/>
        </w:rPr>
        <w:footnoteRef/>
      </w:r>
      <w:r>
        <w:t xml:space="preserve"> The elative case is treated as the </w:t>
      </w:r>
      <w:r w:rsidR="00297457">
        <w:t>genitive in Russian, where the genitive and elative in Finnish are not allomorphic. I suggest that this is exemplary of ambiguity in language documentation whereas the aspects are known in language study, but there are few absolute definitions without questionable entailments. For example, a pure ‘genitive’ definition would be a genus-species relationship, X of Y between two nominal lexemes.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518E4"/>
    <w:rsid w:val="001238B2"/>
    <w:rsid w:val="00211240"/>
    <w:rsid w:val="00217695"/>
    <w:rsid w:val="0029580D"/>
    <w:rsid w:val="00297457"/>
    <w:rsid w:val="00316F86"/>
    <w:rsid w:val="003D1D97"/>
    <w:rsid w:val="00563F63"/>
    <w:rsid w:val="005C4803"/>
    <w:rsid w:val="006106D5"/>
    <w:rsid w:val="006272BE"/>
    <w:rsid w:val="006742B0"/>
    <w:rsid w:val="00886C9F"/>
    <w:rsid w:val="00891186"/>
    <w:rsid w:val="008D0EEC"/>
    <w:rsid w:val="00B00F7B"/>
    <w:rsid w:val="00B47135"/>
    <w:rsid w:val="00BC1C6C"/>
    <w:rsid w:val="00BE4528"/>
    <w:rsid w:val="00C35CE9"/>
    <w:rsid w:val="00E42AAC"/>
    <w:rsid w:val="00EF330E"/>
    <w:rsid w:val="00F767BB"/>
    <w:rsid w:val="00FA3D58"/>
    <w:rsid w:val="00FC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paragraph" w:styleId="FootnoteText">
    <w:name w:val="footnote text"/>
    <w:basedOn w:val="Normal"/>
    <w:link w:val="FootnoteTextChar"/>
    <w:uiPriority w:val="99"/>
    <w:semiHidden/>
    <w:unhideWhenUsed/>
    <w:rsid w:val="00FA3D5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3D5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A3D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5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5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8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C0AE25-74A1-1B42-9CC8-310B21EDA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6</cp:revision>
  <cp:lastPrinted>2019-02-27T00:15:00Z</cp:lastPrinted>
  <dcterms:created xsi:type="dcterms:W3CDTF">2019-02-26T21:41:00Z</dcterms:created>
  <dcterms:modified xsi:type="dcterms:W3CDTF">2019-02-28T18:26:00Z</dcterms:modified>
</cp:coreProperties>
</file>