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6A994" w14:textId="79BE6098" w:rsidR="00966CB0" w:rsidRDefault="00BC1C6C" w:rsidP="000E047D">
      <w:pPr>
        <w:tabs>
          <w:tab w:val="right" w:pos="9360"/>
        </w:tabs>
        <w:spacing w:line="480" w:lineRule="auto"/>
      </w:pPr>
      <w:r>
        <w:t>Jared V Purcell</w:t>
      </w:r>
      <w:r>
        <w:tab/>
      </w:r>
    </w:p>
    <w:p w14:paraId="39B58AA0" w14:textId="2E126ADE" w:rsidR="00BC1C6C" w:rsidRDefault="00BC1C6C" w:rsidP="000E047D">
      <w:pPr>
        <w:spacing w:line="480" w:lineRule="auto"/>
      </w:pPr>
      <w:r>
        <w:t xml:space="preserve">Professor </w:t>
      </w:r>
      <w:proofErr w:type="spellStart"/>
      <w:r>
        <w:t>Nanian</w:t>
      </w:r>
      <w:proofErr w:type="spellEnd"/>
    </w:p>
    <w:p w14:paraId="0C7E302D" w14:textId="0A9EE1CA" w:rsidR="00BC1C6C" w:rsidRDefault="00BC1C6C" w:rsidP="000E047D">
      <w:pPr>
        <w:spacing w:line="480" w:lineRule="auto"/>
      </w:pPr>
      <w:r>
        <w:t>ENGH 302-H29</w:t>
      </w:r>
    </w:p>
    <w:p w14:paraId="2E6D68B0" w14:textId="1E84DA36" w:rsidR="00BC1C6C" w:rsidRDefault="00BC1C6C" w:rsidP="000E047D">
      <w:pPr>
        <w:spacing w:line="480" w:lineRule="auto"/>
      </w:pPr>
      <w:r>
        <w:t>February 11, 2019</w:t>
      </w:r>
    </w:p>
    <w:p w14:paraId="69B41C69" w14:textId="7F23AFA0" w:rsidR="00BC1C6C" w:rsidRDefault="00BC1C6C" w:rsidP="000E047D">
      <w:pPr>
        <w:spacing w:line="480" w:lineRule="auto"/>
        <w:jc w:val="center"/>
      </w:pPr>
      <w:r>
        <w:t>Exercise: Toulmin Analysis</w:t>
      </w:r>
    </w:p>
    <w:p w14:paraId="17158324" w14:textId="77364C6E" w:rsidR="00BC1C6C" w:rsidRDefault="008F5A2F" w:rsidP="000E047D">
      <w:pPr>
        <w:spacing w:line="480" w:lineRule="auto"/>
        <w:contextualSpacing/>
      </w:pPr>
      <w:r>
        <w:t>Ch. 2 The Morphological Structure of Estonian</w:t>
      </w:r>
    </w:p>
    <w:p w14:paraId="6B30D71A" w14:textId="77777777" w:rsidR="00623FBF" w:rsidRDefault="008F5A2F" w:rsidP="00623FB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CLAIM: </w:t>
      </w:r>
      <w:r w:rsidRPr="008F5A2F">
        <w:rPr>
          <w:rFonts w:ascii="Times New Roman" w:eastAsia="Times New Roman" w:hAnsi="Times New Roman" w:cs="Times New Roman"/>
        </w:rPr>
        <w:t xml:space="preserve">The morphological structure of Estonian has been discussed by several linguists at different times, for example </w:t>
      </w:r>
      <w:proofErr w:type="spellStart"/>
      <w:r w:rsidRPr="008F5A2F">
        <w:rPr>
          <w:rFonts w:ascii="Times New Roman" w:eastAsia="Times New Roman" w:hAnsi="Times New Roman" w:cs="Times New Roman"/>
        </w:rPr>
        <w:t>Skalicˇ</w:t>
      </w:r>
      <w:bookmarkStart w:id="0" w:name="_GoBack"/>
      <w:bookmarkEnd w:id="0"/>
      <w:r w:rsidRPr="008F5A2F">
        <w:rPr>
          <w:rFonts w:ascii="Times New Roman" w:eastAsia="Times New Roman" w:hAnsi="Times New Roman" w:cs="Times New Roman"/>
        </w:rPr>
        <w:t>ka</w:t>
      </w:r>
      <w:proofErr w:type="spellEnd"/>
      <w:r w:rsidRPr="008F5A2F">
        <w:rPr>
          <w:rFonts w:ascii="Times New Roman" w:eastAsia="Times New Roman" w:hAnsi="Times New Roman" w:cs="Times New Roman"/>
        </w:rPr>
        <w:t xml:space="preserve"> (1975), Comrie (1980), </w:t>
      </w:r>
      <w:proofErr w:type="spellStart"/>
      <w:r w:rsidRPr="008F5A2F">
        <w:rPr>
          <w:rFonts w:ascii="Times New Roman" w:eastAsia="Times New Roman" w:hAnsi="Times New Roman" w:cs="Times New Roman"/>
        </w:rPr>
        <w:t>Viitso</w:t>
      </w:r>
      <w:proofErr w:type="spellEnd"/>
      <w:r w:rsidRPr="008F5A2F">
        <w:rPr>
          <w:rFonts w:ascii="Times New Roman" w:eastAsia="Times New Roman" w:hAnsi="Times New Roman" w:cs="Times New Roman"/>
        </w:rPr>
        <w:t xml:space="preserve"> (1990) and </w:t>
      </w:r>
      <w:proofErr w:type="spellStart"/>
      <w:r w:rsidRPr="008F5A2F">
        <w:rPr>
          <w:rFonts w:ascii="Times New Roman" w:eastAsia="Times New Roman" w:hAnsi="Times New Roman" w:cs="Times New Roman"/>
        </w:rPr>
        <w:t>Sutrop</w:t>
      </w:r>
      <w:proofErr w:type="spellEnd"/>
      <w:r w:rsidRPr="008F5A2F">
        <w:rPr>
          <w:rFonts w:ascii="Times New Roman" w:eastAsia="Times New Roman" w:hAnsi="Times New Roman" w:cs="Times New Roman"/>
        </w:rPr>
        <w:t xml:space="preserve"> (1997). Quite unanimously, all the authors have found that Estonian has features characteristic of both agglutinative as well as of inflective languages. Although analytic constructions are used in Estonian, too, they remain complementary. For a general overview of Estonian morphology see </w:t>
      </w:r>
      <w:proofErr w:type="spellStart"/>
      <w:r w:rsidRPr="008F5A2F">
        <w:rPr>
          <w:rFonts w:ascii="Times New Roman" w:eastAsia="Times New Roman" w:hAnsi="Times New Roman" w:cs="Times New Roman"/>
        </w:rPr>
        <w:t>Viitso</w:t>
      </w:r>
      <w:proofErr w:type="spellEnd"/>
      <w:r w:rsidRPr="008F5A2F">
        <w:rPr>
          <w:rFonts w:ascii="Times New Roman" w:eastAsia="Times New Roman" w:hAnsi="Times New Roman" w:cs="Times New Roman"/>
        </w:rPr>
        <w:t xml:space="preserve"> (2003). </w:t>
      </w:r>
    </w:p>
    <w:p w14:paraId="4D843806" w14:textId="77777777" w:rsidR="00623FBF" w:rsidRDefault="008F5A2F" w:rsidP="00623FB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GROUNDS/WARRANT: </w:t>
      </w:r>
      <w:r w:rsidRPr="008F5A2F">
        <w:rPr>
          <w:rFonts w:ascii="Times New Roman" w:eastAsia="Times New Roman" w:hAnsi="Times New Roman" w:cs="Times New Roman"/>
        </w:rPr>
        <w:t xml:space="preserve">Below I will give an account of morphological subsystems of Estonian indicating to what extent one or the other strategy is used. In order to distinguish agglutination from inflection, I follow Comrie (1980) by defining inflectional features as deviation from canonical agglutination. Canonical agglutination is </w:t>
      </w:r>
      <w:proofErr w:type="spellStart"/>
      <w:r w:rsidRPr="008F5A2F">
        <w:rPr>
          <w:rFonts w:ascii="Times New Roman" w:eastAsia="Times New Roman" w:hAnsi="Times New Roman" w:cs="Times New Roman"/>
        </w:rPr>
        <w:t>characterised</w:t>
      </w:r>
      <w:proofErr w:type="spellEnd"/>
      <w:r w:rsidRPr="008F5A2F">
        <w:rPr>
          <w:rFonts w:ascii="Times New Roman" w:eastAsia="Times New Roman" w:hAnsi="Times New Roman" w:cs="Times New Roman"/>
        </w:rPr>
        <w:t xml:space="preserve"> by </w:t>
      </w:r>
      <w:proofErr w:type="spellStart"/>
      <w:r w:rsidRPr="008F5A2F">
        <w:rPr>
          <w:rFonts w:ascii="Times New Roman" w:eastAsia="Times New Roman" w:hAnsi="Times New Roman" w:cs="Times New Roman"/>
        </w:rPr>
        <w:t>segmentability</w:t>
      </w:r>
      <w:proofErr w:type="spellEnd"/>
      <w:r w:rsidRPr="008F5A2F">
        <w:rPr>
          <w:rFonts w:ascii="Times New Roman" w:eastAsia="Times New Roman" w:hAnsi="Times New Roman" w:cs="Times New Roman"/>
        </w:rPr>
        <w:t xml:space="preserve">, and invariance of morpheme expression. Comrie’s notions of invariance and </w:t>
      </w:r>
      <w:proofErr w:type="spellStart"/>
      <w:r w:rsidRPr="008F5A2F">
        <w:rPr>
          <w:rFonts w:ascii="Times New Roman" w:eastAsia="Times New Roman" w:hAnsi="Times New Roman" w:cs="Times New Roman"/>
        </w:rPr>
        <w:t>segmentability</w:t>
      </w:r>
      <w:proofErr w:type="spellEnd"/>
      <w:r w:rsidRPr="008F5A2F">
        <w:rPr>
          <w:rFonts w:ascii="Times New Roman" w:eastAsia="Times New Roman" w:hAnsi="Times New Roman" w:cs="Times New Roman"/>
        </w:rPr>
        <w:t xml:space="preserve"> are closely connected to the notions of constructional iconicity, uniformity and transparency in the theory of natural morphology (</w:t>
      </w:r>
      <w:proofErr w:type="spellStart"/>
      <w:r w:rsidRPr="008F5A2F">
        <w:rPr>
          <w:rFonts w:ascii="Times New Roman" w:eastAsia="Times New Roman" w:hAnsi="Times New Roman" w:cs="Times New Roman"/>
        </w:rPr>
        <w:t>Mayerthaler</w:t>
      </w:r>
      <w:proofErr w:type="spellEnd"/>
      <w:r w:rsidRPr="008F5A2F">
        <w:rPr>
          <w:rFonts w:ascii="Times New Roman" w:eastAsia="Times New Roman" w:hAnsi="Times New Roman" w:cs="Times New Roman"/>
        </w:rPr>
        <w:t xml:space="preserve"> 1981, </w:t>
      </w:r>
      <w:proofErr w:type="spellStart"/>
      <w:r w:rsidRPr="008F5A2F">
        <w:rPr>
          <w:rFonts w:ascii="Times New Roman" w:eastAsia="Times New Roman" w:hAnsi="Times New Roman" w:cs="Times New Roman"/>
        </w:rPr>
        <w:t>Wurzel</w:t>
      </w:r>
      <w:proofErr w:type="spellEnd"/>
      <w:r w:rsidRPr="008F5A2F">
        <w:rPr>
          <w:rFonts w:ascii="Times New Roman" w:eastAsia="Times New Roman" w:hAnsi="Times New Roman" w:cs="Times New Roman"/>
        </w:rPr>
        <w:t xml:space="preserve"> 1984),</w:t>
      </w:r>
    </w:p>
    <w:p w14:paraId="1E0891A2" w14:textId="77777777" w:rsidR="00623FBF" w:rsidRDefault="008F5A2F" w:rsidP="00623FB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REBUTTAL/QUALIFIER: </w:t>
      </w:r>
      <w:r w:rsidRPr="008F5A2F">
        <w:rPr>
          <w:rFonts w:ascii="Times New Roman" w:eastAsia="Times New Roman" w:hAnsi="Times New Roman" w:cs="Times New Roman"/>
        </w:rPr>
        <w:t xml:space="preserve">but I prefer the first ones due to methodological reasons. Thus, according to Comrie (1980), </w:t>
      </w:r>
      <w:proofErr w:type="spellStart"/>
      <w:r w:rsidRPr="008F5A2F">
        <w:rPr>
          <w:rFonts w:ascii="Times New Roman" w:eastAsia="Times New Roman" w:hAnsi="Times New Roman" w:cs="Times New Roman"/>
        </w:rPr>
        <w:t>segmentability</w:t>
      </w:r>
      <w:proofErr w:type="spellEnd"/>
      <w:r w:rsidRPr="008F5A2F">
        <w:rPr>
          <w:rFonts w:ascii="Times New Roman" w:eastAsia="Times New Roman" w:hAnsi="Times New Roman" w:cs="Times New Roman"/>
        </w:rPr>
        <w:t xml:space="preserve"> means that a complex word can be divided </w:t>
      </w:r>
      <w:r w:rsidRPr="008F5A2F">
        <w:rPr>
          <w:rFonts w:ascii="Times New Roman" w:eastAsia="Times New Roman" w:hAnsi="Times New Roman" w:cs="Times New Roman"/>
        </w:rPr>
        <w:lastRenderedPageBreak/>
        <w:t xml:space="preserve">into morphemes without problems in morpheme boundaries. Invariance means that a morpheme does not have </w:t>
      </w:r>
      <w:proofErr w:type="gramStart"/>
      <w:r w:rsidRPr="008F5A2F">
        <w:rPr>
          <w:rFonts w:ascii="Times New Roman" w:eastAsia="Times New Roman" w:hAnsi="Times New Roman" w:cs="Times New Roman"/>
        </w:rPr>
        <w:t>allomorphs, but</w:t>
      </w:r>
      <w:proofErr w:type="gramEnd"/>
      <w:r w:rsidRPr="008F5A2F">
        <w:rPr>
          <w:rFonts w:ascii="Times New Roman" w:eastAsia="Times New Roman" w:hAnsi="Times New Roman" w:cs="Times New Roman"/>
        </w:rPr>
        <w:t xml:space="preserve"> has a uniform expression in all possible contexts. Hence, “for the most rigid interpretation of canonical agglutination, there would be a </w:t>
      </w:r>
      <w:proofErr w:type="spellStart"/>
      <w:r w:rsidRPr="008F5A2F">
        <w:rPr>
          <w:rFonts w:ascii="Times New Roman" w:eastAsia="Times New Roman" w:hAnsi="Times New Roman" w:cs="Times New Roman"/>
        </w:rPr>
        <w:t>oneone</w:t>
      </w:r>
      <w:proofErr w:type="spellEnd"/>
      <w:r w:rsidRPr="008F5A2F">
        <w:rPr>
          <w:rFonts w:ascii="Times New Roman" w:eastAsia="Times New Roman" w:hAnsi="Times New Roman" w:cs="Times New Roman"/>
        </w:rPr>
        <w:t xml:space="preserve"> correspondence between morphemes and their expression” (Comrie 1980: 93). </w:t>
      </w:r>
    </w:p>
    <w:p w14:paraId="602FDE88" w14:textId="022AF85B" w:rsidR="000E047D" w:rsidRPr="00EA4B11" w:rsidRDefault="008F5A2F" w:rsidP="00EA4B11">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ENTER QUALIFIER </w:t>
      </w:r>
      <w:r w:rsidRPr="008F5A2F">
        <w:rPr>
          <w:rFonts w:ascii="Times New Roman" w:eastAsia="Times New Roman" w:hAnsi="Times New Roman" w:cs="Times New Roman"/>
        </w:rPr>
        <w:t>Let us first turn to verbal morphology as the different morphological strategies are more clearly distinguishable in conjugations than in declensions</w:t>
      </w:r>
      <w:r w:rsidR="000E047D">
        <w:rPr>
          <w:rFonts w:ascii="Times New Roman" w:eastAsia="Times New Roman" w:hAnsi="Times New Roman" w:cs="Times New Roman"/>
        </w:rPr>
        <w:t xml:space="preserve"> (</w:t>
      </w:r>
      <w:proofErr w:type="spellStart"/>
      <w:r w:rsidR="000E047D">
        <w:rPr>
          <w:rFonts w:ascii="Times New Roman" w:eastAsia="Times New Roman" w:hAnsi="Times New Roman" w:cs="Times New Roman"/>
        </w:rPr>
        <w:t>Ehala</w:t>
      </w:r>
      <w:proofErr w:type="spellEnd"/>
      <w:r w:rsidR="000E047D">
        <w:rPr>
          <w:rFonts w:ascii="Times New Roman" w:eastAsia="Times New Roman" w:hAnsi="Times New Roman" w:cs="Times New Roman"/>
        </w:rPr>
        <w:t>, 2005: 30)</w:t>
      </w:r>
    </w:p>
    <w:p w14:paraId="2D38F922" w14:textId="2A06C13C" w:rsidR="008F5A2F" w:rsidRPr="000E047D" w:rsidRDefault="008F5A2F" w:rsidP="000E047D">
      <w:pPr>
        <w:spacing w:line="480" w:lineRule="auto"/>
        <w:ind w:firstLine="720"/>
        <w:rPr>
          <w:rFonts w:ascii="Times New Roman" w:eastAsia="Times New Roman" w:hAnsi="Times New Roman" w:cs="Times New Roman"/>
        </w:rPr>
      </w:pPr>
      <w:r>
        <w:t xml:space="preserve">The opening claim is that Estonian morphology is agglutinative and inflective (although primary inflection is onset and secondary s variant) The grounds are type II quotes that come from data of the language citation, and the warrant is the validation of Comrie’s definition to the definitions of agglutination and inflection (basically he could just say </w:t>
      </w:r>
      <w:proofErr w:type="spellStart"/>
      <w:r>
        <w:t>fusionality</w:t>
      </w:r>
      <w:proofErr w:type="spellEnd"/>
      <w:r>
        <w:t xml:space="preserve">). The rebuttal is the author’s assertion that reinforcement of this predictable argument that </w:t>
      </w:r>
      <w:proofErr w:type="spellStart"/>
      <w:r>
        <w:t>segmentability</w:t>
      </w:r>
      <w:proofErr w:type="spellEnd"/>
      <w:r>
        <w:t xml:space="preserve"> is best defined by the lack of allomorphy in in a morphological inventory rather than other approaches. (specifically in Estonian, there are extremely few if any allomorphs in all of the recognized markedness of the language aside of stems and coincidental orthographic </w:t>
      </w:r>
      <w:proofErr w:type="gramStart"/>
      <w:r>
        <w:t>clusters )</w:t>
      </w:r>
      <w:proofErr w:type="gramEnd"/>
      <w:r>
        <w:t xml:space="preserve"> In the qualifier, this argument to support agglutination is present in certain morphological types, evident in verbs (noun lexemes have a greater variety of declensions).</w:t>
      </w:r>
      <w:r w:rsidR="000E047D">
        <w:t xml:space="preserve"> I argue that when one is familiar with the subject that there is a sense of predictability in writing, and the reader may be aware of the prepared argument, hence hyphenated analysis. </w:t>
      </w:r>
    </w:p>
    <w:p w14:paraId="423EAC45" w14:textId="4C1B4DED" w:rsidR="008F5A2F" w:rsidRDefault="008F5A2F" w:rsidP="000E047D">
      <w:pPr>
        <w:spacing w:line="480" w:lineRule="auto"/>
        <w:ind w:firstLine="720"/>
        <w:contextualSpacing/>
        <w:jc w:val="center"/>
      </w:pPr>
      <w:proofErr w:type="spellStart"/>
      <w:r>
        <w:lastRenderedPageBreak/>
        <w:t>Bibliograafia</w:t>
      </w:r>
      <w:proofErr w:type="spellEnd"/>
    </w:p>
    <w:p w14:paraId="2D87E6C3" w14:textId="5C263683" w:rsidR="008F5A2F" w:rsidRPr="008F5A2F" w:rsidRDefault="008F5A2F" w:rsidP="000E047D">
      <w:pPr>
        <w:spacing w:line="480" w:lineRule="auto"/>
        <w:ind w:left="720" w:hanging="720"/>
      </w:pPr>
      <w:proofErr w:type="spellStart"/>
      <w:r w:rsidRPr="008F5A2F">
        <w:rPr>
          <w:rFonts w:ascii="Times New Roman" w:eastAsia="Times New Roman" w:hAnsi="Times New Roman" w:cs="Times New Roman"/>
        </w:rPr>
        <w:t>Ehala</w:t>
      </w:r>
      <w:proofErr w:type="spellEnd"/>
      <w:r w:rsidRPr="008F5A2F">
        <w:rPr>
          <w:rFonts w:ascii="Times New Roman" w:eastAsia="Times New Roman" w:hAnsi="Times New Roman" w:cs="Times New Roman"/>
        </w:rPr>
        <w:t xml:space="preserve">, M. (2005). Linguistic </w:t>
      </w:r>
      <w:r>
        <w:rPr>
          <w:rFonts w:ascii="Times New Roman" w:eastAsia="Times New Roman" w:hAnsi="Times New Roman" w:cs="Times New Roman"/>
        </w:rPr>
        <w:t>S</w:t>
      </w:r>
      <w:r w:rsidRPr="008F5A2F">
        <w:rPr>
          <w:rFonts w:ascii="Times New Roman" w:eastAsia="Times New Roman" w:hAnsi="Times New Roman" w:cs="Times New Roman"/>
        </w:rPr>
        <w:t xml:space="preserve">trategies and </w:t>
      </w:r>
      <w:r>
        <w:rPr>
          <w:rFonts w:ascii="Times New Roman" w:eastAsia="Times New Roman" w:hAnsi="Times New Roman" w:cs="Times New Roman"/>
        </w:rPr>
        <w:t>M</w:t>
      </w:r>
      <w:r w:rsidRPr="008F5A2F">
        <w:rPr>
          <w:rFonts w:ascii="Times New Roman" w:eastAsia="Times New Roman" w:hAnsi="Times New Roman" w:cs="Times New Roman"/>
        </w:rPr>
        <w:t xml:space="preserve">arkedness in Estonian </w:t>
      </w:r>
      <w:r>
        <w:rPr>
          <w:rFonts w:ascii="Times New Roman" w:eastAsia="Times New Roman" w:hAnsi="Times New Roman" w:cs="Times New Roman"/>
        </w:rPr>
        <w:t>M</w:t>
      </w:r>
      <w:r w:rsidRPr="008F5A2F">
        <w:rPr>
          <w:rFonts w:ascii="Times New Roman" w:eastAsia="Times New Roman" w:hAnsi="Times New Roman" w:cs="Times New Roman"/>
        </w:rPr>
        <w:t xml:space="preserve">orphology. </w:t>
      </w:r>
      <w:r w:rsidRPr="008F5A2F">
        <w:rPr>
          <w:i/>
        </w:rPr>
        <w:t>STUF, Akademie Verlag,</w:t>
      </w:r>
      <w:r>
        <w:t xml:space="preserve"> </w:t>
      </w:r>
      <w:r w:rsidRPr="008F5A2F">
        <w:rPr>
          <w:rFonts w:ascii="Times New Roman" w:eastAsia="Times New Roman" w:hAnsi="Times New Roman" w:cs="Times New Roman"/>
          <w:i/>
          <w:iCs/>
        </w:rPr>
        <w:t>Institute of Estonian and General Linguistics</w:t>
      </w:r>
      <w:r w:rsidRPr="008F5A2F">
        <w:rPr>
          <w:rFonts w:ascii="Times New Roman" w:eastAsia="Times New Roman" w:hAnsi="Times New Roman" w:cs="Times New Roman"/>
        </w:rPr>
        <w:t xml:space="preserve">, </w:t>
      </w:r>
      <w:r w:rsidRPr="008F5A2F">
        <w:rPr>
          <w:rFonts w:ascii="Times New Roman" w:eastAsia="Times New Roman" w:hAnsi="Times New Roman" w:cs="Times New Roman"/>
          <w:i/>
          <w:iCs/>
        </w:rPr>
        <w:t>62</w:t>
      </w:r>
      <w:r w:rsidRPr="008F5A2F">
        <w:rPr>
          <w:rFonts w:ascii="Times New Roman" w:eastAsia="Times New Roman" w:hAnsi="Times New Roman" w:cs="Times New Roman"/>
        </w:rPr>
        <w:t>(1/2), 29–48.</w:t>
      </w:r>
    </w:p>
    <w:p w14:paraId="4E896912" w14:textId="77777777" w:rsidR="008F5A2F" w:rsidRDefault="008F5A2F" w:rsidP="000E047D">
      <w:pPr>
        <w:spacing w:line="480" w:lineRule="auto"/>
        <w:ind w:firstLine="720"/>
        <w:contextualSpacing/>
      </w:pPr>
    </w:p>
    <w:sectPr w:rsidR="008F5A2F" w:rsidSect="00891186">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5760B8" w14:textId="77777777" w:rsidR="0007125C" w:rsidRDefault="0007125C" w:rsidP="00BC1C6C">
      <w:r>
        <w:separator/>
      </w:r>
    </w:p>
  </w:endnote>
  <w:endnote w:type="continuationSeparator" w:id="0">
    <w:p w14:paraId="32C02297" w14:textId="77777777" w:rsidR="0007125C" w:rsidRDefault="0007125C" w:rsidP="00BC1C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oulos SIL">
    <w:panose1 w:val="020B0604020202020204"/>
    <w:charset w:val="4D"/>
    <w:family w:val="auto"/>
    <w:pitch w:val="variable"/>
    <w:sig w:usb0="A00002FF" w:usb1="5200A1FF" w:usb2="02000009" w:usb3="00000000" w:csb0="00000197" w:csb1="00000000"/>
  </w:font>
  <w:font w:name="Calibri">
    <w:panose1 w:val="020F0502020204030204"/>
    <w:charset w:val="00"/>
    <w:family w:val="swiss"/>
    <w:pitch w:val="variable"/>
    <w:sig w:usb0="00000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48F681" w14:textId="77777777" w:rsidR="0007125C" w:rsidRDefault="0007125C" w:rsidP="00BC1C6C">
      <w:r>
        <w:separator/>
      </w:r>
    </w:p>
  </w:footnote>
  <w:footnote w:type="continuationSeparator" w:id="0">
    <w:p w14:paraId="3457CC4F" w14:textId="77777777" w:rsidR="0007125C" w:rsidRDefault="0007125C" w:rsidP="00BC1C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2906906"/>
      <w:docPartObj>
        <w:docPartGallery w:val="Page Numbers (Top of Page)"/>
        <w:docPartUnique/>
      </w:docPartObj>
    </w:sdtPr>
    <w:sdtContent>
      <w:p w14:paraId="562B3BF4" w14:textId="6B0401B2"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33E0E3" w14:textId="77777777" w:rsidR="00BC1C6C" w:rsidRDefault="00BC1C6C" w:rsidP="00BC1C6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77672919"/>
      <w:docPartObj>
        <w:docPartGallery w:val="Page Numbers (Top of Page)"/>
        <w:docPartUnique/>
      </w:docPartObj>
    </w:sdtPr>
    <w:sdtContent>
      <w:p w14:paraId="59401913" w14:textId="1F7FC525"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35CE25" w14:textId="68621ADB" w:rsidR="00BC1C6C" w:rsidRDefault="00BC1C6C" w:rsidP="00BC1C6C">
    <w:pPr>
      <w:pStyle w:val="Header"/>
      <w:ind w:right="360"/>
    </w:pPr>
    <w:r>
      <w:ptab w:relativeTo="margin" w:alignment="center" w:leader="none"/>
    </w:r>
    <w:r>
      <w:ptab w:relativeTo="margin" w:alignment="right" w:leader="none"/>
    </w:r>
    <w:r>
      <w:t xml:space="preserve">Purcell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C6C"/>
    <w:rsid w:val="0007125C"/>
    <w:rsid w:val="000E047D"/>
    <w:rsid w:val="00217695"/>
    <w:rsid w:val="005C4803"/>
    <w:rsid w:val="00623FBF"/>
    <w:rsid w:val="00891186"/>
    <w:rsid w:val="008F5A2F"/>
    <w:rsid w:val="00BC1C6C"/>
    <w:rsid w:val="00BE4528"/>
    <w:rsid w:val="00EA4B11"/>
    <w:rsid w:val="00F55C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E9391"/>
  <w15:chartTrackingRefBased/>
  <w15:docId w15:val="{52EE16EA-1762-0742-9040-3A9A13BC0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oulos SIL" w:eastAsiaTheme="minorHAnsi" w:hAnsi="Doulos SIL" w:cs="Doulos SI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1C6C"/>
    <w:pPr>
      <w:tabs>
        <w:tab w:val="center" w:pos="4680"/>
        <w:tab w:val="right" w:pos="9360"/>
      </w:tabs>
    </w:pPr>
  </w:style>
  <w:style w:type="character" w:customStyle="1" w:styleId="HeaderChar">
    <w:name w:val="Header Char"/>
    <w:basedOn w:val="DefaultParagraphFont"/>
    <w:link w:val="Header"/>
    <w:uiPriority w:val="99"/>
    <w:rsid w:val="00BC1C6C"/>
  </w:style>
  <w:style w:type="paragraph" w:styleId="Footer">
    <w:name w:val="footer"/>
    <w:basedOn w:val="Normal"/>
    <w:link w:val="FooterChar"/>
    <w:uiPriority w:val="99"/>
    <w:unhideWhenUsed/>
    <w:rsid w:val="00BC1C6C"/>
    <w:pPr>
      <w:tabs>
        <w:tab w:val="center" w:pos="4680"/>
        <w:tab w:val="right" w:pos="9360"/>
      </w:tabs>
    </w:pPr>
  </w:style>
  <w:style w:type="character" w:customStyle="1" w:styleId="FooterChar">
    <w:name w:val="Footer Char"/>
    <w:basedOn w:val="DefaultParagraphFont"/>
    <w:link w:val="Footer"/>
    <w:uiPriority w:val="99"/>
    <w:rsid w:val="00BC1C6C"/>
  </w:style>
  <w:style w:type="character" w:styleId="PageNumber">
    <w:name w:val="page number"/>
    <w:basedOn w:val="DefaultParagraphFont"/>
    <w:uiPriority w:val="99"/>
    <w:semiHidden/>
    <w:unhideWhenUsed/>
    <w:rsid w:val="00BC1C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217543">
      <w:bodyDiv w:val="1"/>
      <w:marLeft w:val="0"/>
      <w:marRight w:val="0"/>
      <w:marTop w:val="0"/>
      <w:marBottom w:val="0"/>
      <w:divBdr>
        <w:top w:val="none" w:sz="0" w:space="0" w:color="auto"/>
        <w:left w:val="none" w:sz="0" w:space="0" w:color="auto"/>
        <w:bottom w:val="none" w:sz="0" w:space="0" w:color="auto"/>
        <w:right w:val="none" w:sz="0" w:space="0" w:color="auto"/>
      </w:divBdr>
      <w:divsChild>
        <w:div w:id="1713648173">
          <w:marLeft w:val="480"/>
          <w:marRight w:val="0"/>
          <w:marTop w:val="0"/>
          <w:marBottom w:val="0"/>
          <w:divBdr>
            <w:top w:val="none" w:sz="0" w:space="0" w:color="auto"/>
            <w:left w:val="none" w:sz="0" w:space="0" w:color="auto"/>
            <w:bottom w:val="none" w:sz="0" w:space="0" w:color="auto"/>
            <w:right w:val="none" w:sz="0" w:space="0" w:color="auto"/>
          </w:divBdr>
          <w:divsChild>
            <w:div w:id="81750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192700">
      <w:bodyDiv w:val="1"/>
      <w:marLeft w:val="0"/>
      <w:marRight w:val="0"/>
      <w:marTop w:val="0"/>
      <w:marBottom w:val="0"/>
      <w:divBdr>
        <w:top w:val="none" w:sz="0" w:space="0" w:color="auto"/>
        <w:left w:val="none" w:sz="0" w:space="0" w:color="auto"/>
        <w:bottom w:val="none" w:sz="0" w:space="0" w:color="auto"/>
        <w:right w:val="none" w:sz="0" w:space="0" w:color="auto"/>
      </w:divBdr>
    </w:div>
    <w:div w:id="2146238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536</Words>
  <Characters>2684</Characters>
  <Application>Microsoft Office Word</Application>
  <DocSecurity>0</DocSecurity>
  <Lines>536</Lines>
  <Paragraphs>536</Paragraphs>
  <ScaleCrop>false</ScaleCrop>
  <Company/>
  <LinksUpToDate>false</LinksUpToDate>
  <CharactersWithSpaces>2684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6</cp:revision>
  <cp:lastPrinted>2019-02-11T07:45:00Z</cp:lastPrinted>
  <dcterms:created xsi:type="dcterms:W3CDTF">2019-02-11T07:34:00Z</dcterms:created>
  <dcterms:modified xsi:type="dcterms:W3CDTF">2019-02-11T07:53:00Z</dcterms:modified>
</cp:coreProperties>
</file>