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F91FCA" w14:textId="5D626E11" w:rsidR="00350462" w:rsidRPr="00350462" w:rsidRDefault="00350462" w:rsidP="009642E0">
      <w:pPr>
        <w:adjustRightInd w:val="0"/>
        <w:spacing w:line="480" w:lineRule="auto"/>
        <w:contextualSpacing/>
        <w:rPr>
          <w:rFonts w:ascii="Times New Roman" w:hAnsi="Times New Roman" w:cs="Times New Roman"/>
        </w:rPr>
      </w:pPr>
      <w:r w:rsidRPr="00350462">
        <w:rPr>
          <w:rFonts w:ascii="Times New Roman" w:hAnsi="Times New Roman" w:cs="Times New Roman"/>
        </w:rPr>
        <w:t>Jared Purcell</w:t>
      </w:r>
    </w:p>
    <w:p w14:paraId="24255A38" w14:textId="562BB964" w:rsidR="00350462" w:rsidRDefault="009642E0" w:rsidP="009642E0">
      <w:pPr>
        <w:adjustRightInd w:val="0"/>
        <w:spacing w:line="480" w:lineRule="auto"/>
        <w:contextualSpacing/>
        <w:rPr>
          <w:rFonts w:ascii="Times New Roman" w:hAnsi="Times New Roman" w:cs="Times New Roman"/>
        </w:rPr>
      </w:pPr>
      <w:r>
        <w:rPr>
          <w:rFonts w:ascii="Times New Roman" w:hAnsi="Times New Roman" w:cs="Times New Roman"/>
        </w:rPr>
        <w:t>Ken</w:t>
      </w:r>
    </w:p>
    <w:p w14:paraId="6CD70BD5" w14:textId="37D40312" w:rsidR="00350462" w:rsidRDefault="009642E0" w:rsidP="009642E0">
      <w:pPr>
        <w:adjustRightInd w:val="0"/>
        <w:spacing w:line="480" w:lineRule="auto"/>
        <w:contextualSpacing/>
        <w:rPr>
          <w:rFonts w:ascii="Times New Roman" w:hAnsi="Times New Roman" w:cs="Times New Roman"/>
        </w:rPr>
      </w:pPr>
      <w:r>
        <w:rPr>
          <w:rFonts w:ascii="Times New Roman" w:hAnsi="Times New Roman" w:cs="Times New Roman"/>
        </w:rPr>
        <w:t>Great Film Directors Theater 411</w:t>
      </w:r>
    </w:p>
    <w:p w14:paraId="11519E83" w14:textId="14BAAE1D" w:rsidR="00350462" w:rsidRDefault="009642E0" w:rsidP="009642E0">
      <w:pPr>
        <w:adjustRightInd w:val="0"/>
        <w:spacing w:line="480" w:lineRule="auto"/>
        <w:contextualSpacing/>
        <w:rPr>
          <w:rFonts w:ascii="Times New Roman" w:hAnsi="Times New Roman" w:cs="Times New Roman"/>
        </w:rPr>
      </w:pPr>
      <w:r>
        <w:rPr>
          <w:rFonts w:ascii="Times New Roman" w:hAnsi="Times New Roman" w:cs="Times New Roman"/>
        </w:rPr>
        <w:t xml:space="preserve">Feb </w:t>
      </w:r>
      <w:proofErr w:type="gramStart"/>
      <w:r>
        <w:rPr>
          <w:rFonts w:ascii="Times New Roman" w:hAnsi="Times New Roman" w:cs="Times New Roman"/>
        </w:rPr>
        <w:t>7</w:t>
      </w:r>
      <w:proofErr w:type="gramEnd"/>
      <w:r>
        <w:rPr>
          <w:rFonts w:ascii="Times New Roman" w:hAnsi="Times New Roman" w:cs="Times New Roman"/>
        </w:rPr>
        <w:t xml:space="preserve"> 2017</w:t>
      </w:r>
    </w:p>
    <w:p w14:paraId="7A29FD67" w14:textId="3B498CB9" w:rsidR="00350462" w:rsidRDefault="009642E0" w:rsidP="009642E0">
      <w:pPr>
        <w:adjustRightInd w:val="0"/>
        <w:spacing w:line="480" w:lineRule="auto"/>
        <w:contextualSpacing/>
        <w:jc w:val="center"/>
        <w:rPr>
          <w:rFonts w:ascii="Times New Roman" w:hAnsi="Times New Roman" w:cs="Times New Roman"/>
        </w:rPr>
      </w:pPr>
      <w:r>
        <w:rPr>
          <w:rFonts w:ascii="Times New Roman" w:hAnsi="Times New Roman" w:cs="Times New Roman"/>
        </w:rPr>
        <w:t>Critic II</w:t>
      </w:r>
    </w:p>
    <w:p w14:paraId="0FA85CB1" w14:textId="2177170F" w:rsidR="009642E0" w:rsidRDefault="009642E0" w:rsidP="009642E0">
      <w:pPr>
        <w:adjustRightInd w:val="0"/>
        <w:spacing w:line="480" w:lineRule="auto"/>
        <w:contextualSpacing/>
        <w:rPr>
          <w:rFonts w:ascii="Times New Roman" w:hAnsi="Times New Roman" w:cs="Times New Roman"/>
        </w:rPr>
      </w:pPr>
      <w:r>
        <w:rPr>
          <w:rFonts w:ascii="Times New Roman" w:hAnsi="Times New Roman" w:cs="Times New Roman"/>
        </w:rPr>
        <w:tab/>
        <w:t xml:space="preserve">Chaplin’s later work has the same slapstick and passive linguistic humor, in that the humor does not make time for the audience to react, rather it is constant throughout the film. “The Great Dictator” was produced when film did not rely on pure audio score. Speech was clearly recorded that allowed for more dynamic situational humor and a shift from action to rhetoric. Chaplain fully utilizes this with the </w:t>
      </w:r>
      <w:proofErr w:type="spellStart"/>
      <w:r>
        <w:rPr>
          <w:rFonts w:ascii="Times New Roman" w:hAnsi="Times New Roman" w:cs="Times New Roman"/>
        </w:rPr>
        <w:t>satyrics</w:t>
      </w:r>
      <w:proofErr w:type="spellEnd"/>
      <w:r>
        <w:rPr>
          <w:rFonts w:ascii="Times New Roman" w:hAnsi="Times New Roman" w:cs="Times New Roman"/>
        </w:rPr>
        <w:t xml:space="preserve"> of German phonetic symbolism, inappropriate translations and outright puns based on similar spellings of the words based on an English lens. The film is a clear spoof of Hitler and the onset of the second World War. Frankly I cannot imagine how this was produced in the time without Chaplain’s death. The film exploits the flaws and personal lives of the SS and the Italian </w:t>
      </w:r>
      <w:r w:rsidR="00D127CB">
        <w:rPr>
          <w:rFonts w:ascii="Times New Roman" w:hAnsi="Times New Roman" w:cs="Times New Roman"/>
        </w:rPr>
        <w:t xml:space="preserve">(American) </w:t>
      </w:r>
      <w:proofErr w:type="gramStart"/>
      <w:r w:rsidR="00D127CB">
        <w:rPr>
          <w:rFonts w:ascii="Times New Roman" w:hAnsi="Times New Roman" w:cs="Times New Roman"/>
        </w:rPr>
        <w:t>cooperation</w:t>
      </w:r>
      <w:r>
        <w:rPr>
          <w:rFonts w:ascii="Times New Roman" w:hAnsi="Times New Roman" w:cs="Times New Roman"/>
        </w:rPr>
        <w:t>, and</w:t>
      </w:r>
      <w:proofErr w:type="gramEnd"/>
      <w:r>
        <w:rPr>
          <w:rFonts w:ascii="Times New Roman" w:hAnsi="Times New Roman" w:cs="Times New Roman"/>
        </w:rPr>
        <w:t xml:space="preserve"> counters the romanticized propaganda that was produced in the time, two years after the invasion of Poland.</w:t>
      </w:r>
    </w:p>
    <w:p w14:paraId="6E6CA9E5" w14:textId="70BC69CC" w:rsidR="009642E0" w:rsidRDefault="009642E0" w:rsidP="009642E0">
      <w:pPr>
        <w:adjustRightInd w:val="0"/>
        <w:spacing w:line="480" w:lineRule="auto"/>
        <w:contextualSpacing/>
        <w:rPr>
          <w:rFonts w:ascii="Times New Roman" w:hAnsi="Times New Roman" w:cs="Times New Roman"/>
        </w:rPr>
      </w:pPr>
      <w:r>
        <w:rPr>
          <w:rFonts w:ascii="Times New Roman" w:hAnsi="Times New Roman" w:cs="Times New Roman"/>
        </w:rPr>
        <w:tab/>
        <w:t xml:space="preserve">Chaplain’s original character is present in this work with the same mannerisms and appearance. His attitude in this film transcends from the humorous that is observed from his work of “the Kid.” Chaplain comes across as a confused character through the film and becomes the leader parallel of Adolf Hitler. He instead delivers a final speech in the film that entails the same passions as the party leader and reveals to the audience what needs to change in the time. </w:t>
      </w:r>
    </w:p>
    <w:p w14:paraId="6A52DD65" w14:textId="77777777" w:rsidR="00D127CB" w:rsidRDefault="00D127CB" w:rsidP="009642E0">
      <w:pPr>
        <w:adjustRightInd w:val="0"/>
        <w:spacing w:line="480" w:lineRule="auto"/>
        <w:contextualSpacing/>
        <w:rPr>
          <w:rFonts w:ascii="Times New Roman" w:hAnsi="Times New Roman" w:cs="Times New Roman"/>
        </w:rPr>
      </w:pPr>
      <w:r>
        <w:rPr>
          <w:rFonts w:ascii="Times New Roman" w:hAnsi="Times New Roman" w:cs="Times New Roman"/>
        </w:rPr>
        <w:tab/>
        <w:t xml:space="preserve">The aesthetic of the film transitioned from dynamic shots that focused on a scene, and now focused of the interactions between characters, likely because dialogue was a crucial element that presided as the primary means of communication instead of mannerisms and </w:t>
      </w:r>
      <w:r>
        <w:rPr>
          <w:rFonts w:ascii="Times New Roman" w:hAnsi="Times New Roman" w:cs="Times New Roman"/>
        </w:rPr>
        <w:lastRenderedPageBreak/>
        <w:t xml:space="preserve">storyboard quotes between scenes of film that come from the previous work and in the comparative work of this week, “The General” by Buster Keaton. </w:t>
      </w:r>
    </w:p>
    <w:p w14:paraId="07339EAA" w14:textId="67F0C63E" w:rsidR="00D127CB" w:rsidRDefault="00D127CB" w:rsidP="00D127CB">
      <w:pPr>
        <w:adjustRightInd w:val="0"/>
        <w:spacing w:line="480" w:lineRule="auto"/>
        <w:ind w:firstLine="720"/>
        <w:contextualSpacing/>
        <w:rPr>
          <w:rFonts w:ascii="Times New Roman" w:hAnsi="Times New Roman" w:cs="Times New Roman"/>
        </w:rPr>
      </w:pPr>
      <w:r>
        <w:rPr>
          <w:rFonts w:ascii="Times New Roman" w:hAnsi="Times New Roman" w:cs="Times New Roman"/>
        </w:rPr>
        <w:t>Unlike Chaplain, Keaton did not use the familiar techniques</w:t>
      </w:r>
      <w:bookmarkStart w:id="0" w:name="_GoBack"/>
      <w:bookmarkEnd w:id="0"/>
      <w:r>
        <w:rPr>
          <w:rFonts w:ascii="Times New Roman" w:hAnsi="Times New Roman" w:cs="Times New Roman"/>
        </w:rPr>
        <w:t xml:space="preserve"> in his film such as a change in frame rate and false models. Keaton’s humor lied in drama of situation instead of slapstick nonsense, which added a greater sense of realism to his work. Keaton’s filter was also not a high contrast black and white, and instead used a sepia film. I suggest that this was intended to display a certain ‘</w:t>
      </w:r>
      <w:proofErr w:type="spellStart"/>
      <w:r>
        <w:rPr>
          <w:rFonts w:ascii="Times New Roman" w:hAnsi="Times New Roman" w:cs="Times New Roman"/>
        </w:rPr>
        <w:t>antiquenes</w:t>
      </w:r>
      <w:proofErr w:type="spellEnd"/>
      <w:r>
        <w:rPr>
          <w:rFonts w:ascii="Times New Roman" w:hAnsi="Times New Roman" w:cs="Times New Roman"/>
        </w:rPr>
        <w:t>’ of the film, considering that it tells a story from sixty years ago for the American Civil War, and not limited to the technology of the time due to the filter change during night scenes and contrast to other films in the time. There was a specific scene where lightning was manually etched into the Keaton film, an unforeseen technique in the other works.</w:t>
      </w:r>
    </w:p>
    <w:p w14:paraId="695B51B3" w14:textId="37BB28AA" w:rsidR="00D127CB" w:rsidRDefault="00D127CB" w:rsidP="00D127CB">
      <w:pPr>
        <w:adjustRightInd w:val="0"/>
        <w:spacing w:line="480" w:lineRule="auto"/>
        <w:ind w:firstLine="720"/>
        <w:contextualSpacing/>
        <w:rPr>
          <w:rFonts w:ascii="Times New Roman" w:hAnsi="Times New Roman" w:cs="Times New Roman"/>
        </w:rPr>
      </w:pPr>
      <w:r>
        <w:rPr>
          <w:rFonts w:ascii="Times New Roman" w:hAnsi="Times New Roman" w:cs="Times New Roman"/>
        </w:rPr>
        <w:t xml:space="preserve">Both of these films do not clearly romanticize the conflicts of states. However, they were intended to show the results of harm and conflict that arise from war and how they affect the common person. Both of these films provoke an attitude of dismay and unsettled discourse between families in the respective states and the cultures of people within, if that be the heterogenous Jews and Gentiles of Germany or the men of the American Confederacy. </w:t>
      </w:r>
    </w:p>
    <w:p w14:paraId="006DD9FD" w14:textId="0C80DD8B" w:rsidR="00D127CB" w:rsidRPr="00350462" w:rsidRDefault="00D127CB" w:rsidP="009642E0">
      <w:pPr>
        <w:adjustRightInd w:val="0"/>
        <w:spacing w:line="480" w:lineRule="auto"/>
        <w:contextualSpacing/>
        <w:rPr>
          <w:rFonts w:ascii="Times New Roman" w:hAnsi="Times New Roman" w:cs="Times New Roman"/>
        </w:rPr>
      </w:pPr>
      <w:r>
        <w:rPr>
          <w:rFonts w:ascii="Times New Roman" w:hAnsi="Times New Roman" w:cs="Times New Roman"/>
        </w:rPr>
        <w:tab/>
        <w:t xml:space="preserve">“The General was thematically influenced from “the great Locomotive Chase” and “The Great Train Robbery,” where drama is conducted from the use of situational irony and displays of power through engineering. These preceded the modern car-chase. Every one of these films to be reviewed has contained some kind of traditional romantic scene between lovers with some threat to the relationship and conclude without any tragedy. This is representative of the social values and conservativeness early in the century. </w:t>
      </w:r>
    </w:p>
    <w:sectPr w:rsidR="00D127CB" w:rsidRPr="00350462"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462"/>
    <w:rsid w:val="00217695"/>
    <w:rsid w:val="00350462"/>
    <w:rsid w:val="00891186"/>
    <w:rsid w:val="009642E0"/>
    <w:rsid w:val="00D127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1C09BC"/>
  <w15:chartTrackingRefBased/>
  <w15:docId w15:val="{73578AA2-E785-BA4E-9D00-235E7FF63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2</Pages>
  <Words>538</Words>
  <Characters>3072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2</cp:revision>
  <dcterms:created xsi:type="dcterms:W3CDTF">2018-12-11T14:53:00Z</dcterms:created>
  <dcterms:modified xsi:type="dcterms:W3CDTF">2019-02-07T15:53:00Z</dcterms:modified>
</cp:coreProperties>
</file>